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Glossary</w:t>
      </w:r>
    </w:p>
    <w:p>
      <w:r>
        <w:t>Short business analysis definitions.</w:t>
      </w:r>
    </w:p>
    <w:p>
      <w:pPr>
        <w:pStyle w:val="ListBullet"/>
      </w:pPr>
      <w:r>
        <w:t>Each term has a short meaning and a source. Filter the list. If a definition disagrees with the standard you are reading, trust the standard and tell us through the contact form.</w:t>
      </w:r>
    </w:p>
    <w:p>
      <w:pPr>
        <w:pStyle w:val="ListBullet"/>
      </w:pPr>
      <w:r>
        <w:t>A requirement states a condition. A design describes a solution. Say which reading you intend so a reviewer knows.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Names in the contact-center rooms are citations of pages opened in October 2026, not endorsements.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About IIBA</w:t>
        </w:r>
      </w:hyperlink>
      <w:r>
        <w:t xml:space="preserve"> (official, last checked 2026-10)</w:t>
      </w:r>
    </w:p>
    <w:p>
      <w:pPr>
        <w:pStyle w:val="ListBullet"/>
      </w:pPr>
      <w:hyperlink r:id="rId24">
        <w:r>
          <w:rPr>
            <w:color w:val="1D4ED8"/>
          </w:rPr>
          <w:t>NN/g, Journey Mapping 101</w:t>
        </w:r>
      </w:hyperlink>
      <w:r>
        <w:t xml:space="preserve"> (official, last checked 2026-10)</w:t>
      </w:r>
    </w:p>
    <w:p>
      <w:pPr>
        <w:pStyle w:val="ListBullet"/>
      </w:pPr>
      <w:hyperlink r:id="rId25">
        <w:r>
          <w:rPr>
            <w:color w:val="1D4ED8"/>
          </w:rPr>
          <w:t>Connect Customer metric definitions</w:t>
        </w:r>
      </w:hyperlink>
      <w:r>
        <w:t xml:space="preserve"> (official, last checked 2026-10)</w:t>
      </w:r>
    </w:p>
    <w:p>
      <w:pPr>
        <w:pStyle w:val="ListBullet"/>
      </w:pPr>
      <w:hyperlink r:id="rId26">
        <w:r>
          <w:rPr>
            <w:color w:val="1D4ED8"/>
          </w:rPr>
          <w:t>IBM, What is CSAT and how to calculate it</w:t>
        </w:r>
      </w:hyperlink>
      <w:r>
        <w:t xml:space="preserve"> (official, last checked 2026-10)</w:t>
      </w:r>
    </w:p>
    <w:p>
      <w:pPr>
        <w:pStyle w:val="ListBullet"/>
      </w:pPr>
      <w:hyperlink r:id="rId27">
        <w:r>
          <w:rPr>
            <w:color w:val="1D4ED8"/>
          </w:rPr>
          <w:t>AWS Prescriptive Guidance, project phases and workstreams</w:t>
        </w:r>
      </w:hyperlink>
      <w:r>
        <w:t xml:space="preserve"> (official, last checked 2026-10)</w:t>
      </w:r>
    </w:p>
    <w:p>
      <w:pPr>
        <w:pStyle w:val="ListBullet"/>
      </w:pPr>
      <w:hyperlink r:id="rId28">
        <w:r>
          <w:rPr>
            <w:color w:val="1D4ED8"/>
          </w:rPr>
          <w:t>AWS Prescriptive Guidance, operational workstream</w:t>
        </w:r>
      </w:hyperlink>
      <w:r>
        <w:t xml:space="preserve"> (official,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iiba.org/about-iiba/" TargetMode="External"/><Relationship Id="rId24" Type="http://schemas.openxmlformats.org/officeDocument/2006/relationships/hyperlink" Target="https://www.nngroup.com/articles/journey-mapping-101/" TargetMode="External"/><Relationship Id="rId25" Type="http://schemas.openxmlformats.org/officeDocument/2006/relationships/hyperlink" Target="https://docs.aws.amazon.com/connect/latest/adminguide/metrics-definitions.html" TargetMode="External"/><Relationship Id="rId26" Type="http://schemas.openxmlformats.org/officeDocument/2006/relationships/hyperlink" Target="https://www.ibm.com/think/topics/csat-customer-satisfaction-score" TargetMode="External"/><Relationship Id="rId27" Type="http://schemas.openxmlformats.org/officeDocument/2006/relationships/hyperlink" Target="https://docs.aws.amazon.com/prescriptive-guidance/latest/strategy-migration-connect/workstreams.html" TargetMode="External"/><Relationship Id="rId28" Type="http://schemas.openxmlformats.org/officeDocument/2006/relationships/hyperlink" Target="https://docs.aws.amazon.com/prescriptive-guidance/latest/strategy-migration-connect/operational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