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</w:t>
      </w:r>
    </w:p>
    <w:p>
      <w:r>
        <w:t>Flashcards, a quiz, and a sort game.</w:t>
      </w:r>
    </w:p>
    <w:p>
      <w:pPr>
        <w:pStyle w:val="ListBullet"/>
      </w:pPr>
      <w:r>
        <w:t>Cards, a quiz, a sort, a match, a stakeholder interview, a triage, and a BPMN order game. Scores stay in this browser. Questions were written for this lab. They are not retired exam items.</w:t>
      </w:r>
    </w:p>
    <w:p>
      <w:pPr>
        <w:pStyle w:val="ListBullet"/>
      </w:pPr>
      <w:r>
        <w:t>Flip ten cards. Then take the quiz. Then place four triage items. The point is the habit, not a score to publish.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p>
      <w:pPr>
        <w:pStyle w:val="Heading1"/>
      </w:pPr>
      <w:r>
        <w:t>Sources and go deeper</w:t>
      </w:r>
    </w:p>
    <w:p>
      <w:r>
        <w:t>Last checked 2026-10. A line marked confirm did not open, so it is not linked.</w:t>
      </w:r>
    </w:p>
    <w:p>
      <w:pPr>
        <w:pStyle w:val="ListBullet"/>
      </w:pPr>
      <w:hyperlink r:id="rId12">
        <w:r>
          <w:rPr>
            <w:color w:val="1D4ED8"/>
          </w:rPr>
          <w:t>IIBA KnowledgeHub, including the BABOK Guide contents</w:t>
        </w:r>
      </w:hyperlink>
      <w:r>
        <w:t xml:space="preserve"> (standard, last checked 2026-10)</w:t>
      </w:r>
    </w:p>
    <w:p>
      <w:pPr>
        <w:pStyle w:val="ListBullet"/>
      </w:pPr>
      <w:r>
        <w:t>BABOK Guide article on the IIBA knowledge hub (standard, confirm, last checked 2026-10)</w:t>
      </w:r>
    </w:p>
    <w:p>
      <w:pPr>
        <w:pStyle w:val="ListBullet"/>
      </w:pPr>
      <w:hyperlink r:id="rId13">
        <w:r>
          <w:rPr>
            <w:color w:val="1D4ED8"/>
          </w:rPr>
          <w:t>IIBA home</w:t>
        </w:r>
      </w:hyperlink>
      <w:r>
        <w:t xml:space="preserve"> (official, last checked 2026-10)</w:t>
      </w:r>
    </w:p>
    <w:p>
      <w:pPr>
        <w:pStyle w:val="ListBullet"/>
      </w:pPr>
      <w:hyperlink r:id="rId14">
        <w:r>
          <w:rPr>
            <w:color w:val="1D4ED8"/>
          </w:rPr>
          <w:t>Manifesto for Agile Software Development</w:t>
        </w:r>
      </w:hyperlink>
      <w:r>
        <w:t xml:space="preserve"> (standard, last checked 2026-10)</w:t>
      </w:r>
    </w:p>
    <w:p>
      <w:pPr>
        <w:pStyle w:val="ListBullet"/>
      </w:pPr>
      <w:hyperlink r:id="rId15">
        <w:r>
          <w:rPr>
            <w:color w:val="1D4ED8"/>
          </w:rPr>
          <w:t>Principles behind the Agile Manifesto</w:t>
        </w:r>
      </w:hyperlink>
      <w:r>
        <w:t xml:space="preserve"> (standard, last checked 2026-10)</w:t>
      </w:r>
    </w:p>
    <w:p>
      <w:pPr>
        <w:pStyle w:val="ListBullet"/>
      </w:pPr>
      <w:hyperlink r:id="rId16">
        <w:r>
          <w:rPr>
            <w:color w:val="1D4ED8"/>
          </w:rPr>
          <w:t>OMG, about BPMN 2.0</w:t>
        </w:r>
      </w:hyperlink>
      <w:r>
        <w:t xml:space="preserve"> (standard, last checked 2026-10)</w:t>
      </w:r>
    </w:p>
    <w:p>
      <w:pPr>
        <w:pStyle w:val="ListBullet"/>
      </w:pPr>
      <w:hyperlink r:id="rId17">
        <w:r>
          <w:rPr>
            <w:color w:val="1D4ED8"/>
          </w:rPr>
          <w:t>BPMN 2.0 specification PDF</w:t>
        </w:r>
      </w:hyperlink>
      <w:r>
        <w:t xml:space="preserve"> (standard, last checked 2026-10)</w:t>
      </w:r>
    </w:p>
    <w:p>
      <w:pPr>
        <w:pStyle w:val="ListBullet"/>
      </w:pPr>
      <w:hyperlink r:id="rId18">
        <w:r>
          <w:rPr>
            <w:color w:val="1D4ED8"/>
          </w:rPr>
          <w:t>OMG, about BPMN 2.0.2</w:t>
        </w:r>
      </w:hyperlink>
      <w:r>
        <w:t xml:space="preserve"> (standard, last checked 2026-10)</w:t>
      </w:r>
    </w:p>
    <w:p>
      <w:pPr>
        <w:pStyle w:val="ListBullet"/>
      </w:pPr>
      <w:hyperlink r:id="rId19">
        <w:r>
          <w:rPr>
            <w:color w:val="1D4ED8"/>
          </w:rPr>
          <w:t>OMG, about UML 2.5.1</w:t>
        </w:r>
      </w:hyperlink>
      <w:r>
        <w:t xml:space="preserve"> (standard, last checked 2026-10)</w:t>
      </w:r>
    </w:p>
    <w:p>
      <w:pPr>
        <w:pStyle w:val="ListBullet"/>
      </w:pPr>
      <w:hyperlink r:id="rId20">
        <w:r>
          <w:rPr>
            <w:color w:val="1D4ED8"/>
          </w:rPr>
          <w:t>UML 2.5.1 specification PDF</w:t>
        </w:r>
      </w:hyperlink>
      <w:r>
        <w:t xml:space="preserve"> (standard, last checked 2026-10)</w:t>
      </w:r>
    </w:p>
    <w:p>
      <w:pPr>
        <w:pStyle w:val="ListBullet"/>
      </w:pPr>
      <w:hyperlink r:id="rId21">
        <w:r>
          <w:rPr>
            <w:color w:val="1D4ED8"/>
          </w:rPr>
          <w:t>IIBA membership</w:t>
        </w:r>
      </w:hyperlink>
      <w:r>
        <w:t xml:space="preserve"> (community, last checked 2026-10)</w:t>
      </w:r>
    </w:p>
    <w:p>
      <w:pPr>
        <w:pStyle w:val="ListBullet"/>
      </w:pPr>
      <w:hyperlink r:id="rId22">
        <w:r>
          <w:rPr>
            <w:color w:val="1D4ED8"/>
          </w:rPr>
          <w:t>OMG managed communities</w:t>
        </w:r>
      </w:hyperlink>
      <w:r>
        <w:t xml:space="preserve"> (community, last checked 2026-10)</w:t>
      </w:r>
    </w:p>
    <w:p>
      <w:pPr>
        <w:pStyle w:val="ListBullet"/>
      </w:pPr>
      <w:hyperlink r:id="rId23">
        <w:r>
          <w:rPr>
            <w:color w:val="1D4ED8"/>
          </w:rPr>
          <w:t>About IIBA</w:t>
        </w:r>
      </w:hyperlink>
      <w:r>
        <w:t xml:space="preserve"> (official, last checked 2026-10)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Relationship Id="rId12" Type="http://schemas.openxmlformats.org/officeDocument/2006/relationships/hyperlink" Target="https://www.iiba.org/knowledgehub/" TargetMode="External"/><Relationship Id="rId13" Type="http://schemas.openxmlformats.org/officeDocument/2006/relationships/hyperlink" Target="https://www.iiba.org/" TargetMode="External"/><Relationship Id="rId14" Type="http://schemas.openxmlformats.org/officeDocument/2006/relationships/hyperlink" Target="https://agilemanifesto.org/" TargetMode="External"/><Relationship Id="rId15" Type="http://schemas.openxmlformats.org/officeDocument/2006/relationships/hyperlink" Target="https://agilemanifesto.org/principles.html" TargetMode="External"/><Relationship Id="rId16" Type="http://schemas.openxmlformats.org/officeDocument/2006/relationships/hyperlink" Target="https://www.omg.org/spec/BPMN/2.0/About-BPMN" TargetMode="External"/><Relationship Id="rId17" Type="http://schemas.openxmlformats.org/officeDocument/2006/relationships/hyperlink" Target="https://www.omg.org/spec/BPMN/2.0/PDF" TargetMode="External"/><Relationship Id="rId18" Type="http://schemas.openxmlformats.org/officeDocument/2006/relationships/hyperlink" Target="https://www.omg.org/spec/BPMN/2.0.2/About-BPMN" TargetMode="External"/><Relationship Id="rId19" Type="http://schemas.openxmlformats.org/officeDocument/2006/relationships/hyperlink" Target="https://www.omg.org/spec/UML/2.5.1/About-UML" TargetMode="External"/><Relationship Id="rId20" Type="http://schemas.openxmlformats.org/officeDocument/2006/relationships/hyperlink" Target="https://www.omg.org/spec/UML/2.5.1/PDF" TargetMode="External"/><Relationship Id="rId21" Type="http://schemas.openxmlformats.org/officeDocument/2006/relationships/hyperlink" Target="https://www.iiba.org/membership/" TargetMode="External"/><Relationship Id="rId22" Type="http://schemas.openxmlformats.org/officeDocument/2006/relationships/hyperlink" Target="https://www.omg.org/communities/" TargetMode="External"/><Relationship Id="rId23" Type="http://schemas.openxmlformats.org/officeDocument/2006/relationships/hyperlink" Target="https://www.iiba.org/about-iib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