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Start here</w:t>
      </w:r>
    </w:p>
    <w:p>
      <w:r>
        <w:t>A one-hour path through the business analysis lab.</w:t>
      </w:r>
    </w:p>
    <w:p>
      <w:pPr>
        <w:pStyle w:val="ListBullet"/>
      </w:pPr>
      <w:r>
        <w:t>The one-hour path is eight short stops: display, need and roles, six knowledge areas, one testable requirement, one picture, one delivery frame, one measure, then credentials and practice. Skip the long rooms until the path is done.</w:t>
      </w:r>
    </w:p>
    <w:p>
      <w:pPr>
        <w:pStyle w:val="ListBullet"/>
      </w:pPr>
      <w:r>
        <w:t>Spend the first six minutes on the core concept model. Spend the middle on one story with Given, When, and Then. End by reading one fee cell and marking anything unmarked as to be confirmed.</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p>
      <w:pPr>
        <w:pStyle w:val="Heading1"/>
      </w:pPr>
      <w:r>
        <w:t>Sources and go deeper</w:t>
      </w:r>
    </w:p>
    <w:p>
      <w:r>
        <w:t>Last checked 2026-10. A line marked confirm did not open, so it is not linked.</w:t>
      </w:r>
    </w:p>
    <w:p>
      <w:pPr>
        <w:pStyle w:val="ListBullet"/>
      </w:pPr>
      <w:hyperlink r:id="rId12">
        <w:r>
          <w:rPr>
            <w:color w:val="1D4ED8"/>
          </w:rPr>
          <w:t>IIBA KnowledgeHub, including the BABOK Guide contents</w:t>
        </w:r>
      </w:hyperlink>
      <w:r>
        <w:t xml:space="preserve"> (standard, last checked 2026-10)</w:t>
      </w:r>
    </w:p>
    <w:p>
      <w:pPr>
        <w:pStyle w:val="ListBullet"/>
      </w:pPr>
      <w:r>
        <w:t>BABOK Guide article on the IIBA knowledge hub (standard, confirm, last checked 2026-10)</w:t>
      </w:r>
    </w:p>
    <w:p>
      <w:pPr>
        <w:pStyle w:val="ListBullet"/>
      </w:pPr>
      <w:hyperlink r:id="rId13">
        <w:r>
          <w:rPr>
            <w:color w:val="1D4ED8"/>
          </w:rPr>
          <w:t>IIBA home</w:t>
        </w:r>
      </w:hyperlink>
      <w:r>
        <w:t xml:space="preserve"> (official, last checked 2026-10)</w:t>
      </w:r>
    </w:p>
    <w:p>
      <w:pPr>
        <w:pStyle w:val="ListBullet"/>
      </w:pPr>
      <w:hyperlink r:id="rId14">
        <w:r>
          <w:rPr>
            <w:color w:val="1D4ED8"/>
          </w:rPr>
          <w:t>Manifesto for Agile Software Development</w:t>
        </w:r>
      </w:hyperlink>
      <w:r>
        <w:t xml:space="preserve"> (standard, last checked 2026-10)</w:t>
      </w:r>
    </w:p>
    <w:p>
      <w:pPr>
        <w:pStyle w:val="ListBullet"/>
      </w:pPr>
      <w:hyperlink r:id="rId15">
        <w:r>
          <w:rPr>
            <w:color w:val="1D4ED8"/>
          </w:rPr>
          <w:t>Principles behind the Agile Manifesto</w:t>
        </w:r>
      </w:hyperlink>
      <w:r>
        <w:t xml:space="preserve"> (standard, last checked 2026-10)</w:t>
      </w:r>
    </w:p>
    <w:p>
      <w:pPr>
        <w:pStyle w:val="ListBullet"/>
      </w:pPr>
      <w:hyperlink r:id="rId16">
        <w:r>
          <w:rPr>
            <w:color w:val="1D4ED8"/>
          </w:rPr>
          <w:t>OMG, about BPMN 2.0</w:t>
        </w:r>
      </w:hyperlink>
      <w:r>
        <w:t xml:space="preserve"> (standard, last checked 2026-10)</w:t>
      </w:r>
    </w:p>
    <w:p>
      <w:pPr>
        <w:pStyle w:val="ListBullet"/>
      </w:pPr>
      <w:hyperlink r:id="rId17">
        <w:r>
          <w:rPr>
            <w:color w:val="1D4ED8"/>
          </w:rPr>
          <w:t>BPMN 2.0 specification PDF</w:t>
        </w:r>
      </w:hyperlink>
      <w:r>
        <w:t xml:space="preserve"> (standard, last checked 2026-10)</w:t>
      </w:r>
    </w:p>
    <w:p>
      <w:pPr>
        <w:pStyle w:val="ListBullet"/>
      </w:pPr>
      <w:hyperlink r:id="rId18">
        <w:r>
          <w:rPr>
            <w:color w:val="1D4ED8"/>
          </w:rPr>
          <w:t>OMG, about BPMN 2.0.2</w:t>
        </w:r>
      </w:hyperlink>
      <w:r>
        <w:t xml:space="preserve"> (standard, last checked 2026-10)</w:t>
      </w:r>
    </w:p>
    <w:p>
      <w:pPr>
        <w:pStyle w:val="ListBullet"/>
      </w:pPr>
      <w:hyperlink r:id="rId19">
        <w:r>
          <w:rPr>
            <w:color w:val="1D4ED8"/>
          </w:rPr>
          <w:t>OMG, about UML 2.5.1</w:t>
        </w:r>
      </w:hyperlink>
      <w:r>
        <w:t xml:space="preserve"> (standard, last checked 2026-10)</w:t>
      </w:r>
    </w:p>
    <w:p>
      <w:pPr>
        <w:pStyle w:val="ListBullet"/>
      </w:pPr>
      <w:hyperlink r:id="rId20">
        <w:r>
          <w:rPr>
            <w:color w:val="1D4ED8"/>
          </w:rPr>
          <w:t>UML 2.5.1 specification PDF</w:t>
        </w:r>
      </w:hyperlink>
      <w:r>
        <w:t xml:space="preserve"> (standard, last checked 2026-10)</w:t>
      </w:r>
    </w:p>
    <w:p>
      <w:pPr>
        <w:pStyle w:val="ListBullet"/>
      </w:pPr>
      <w:hyperlink r:id="rId21">
        <w:r>
          <w:rPr>
            <w:color w:val="1D4ED8"/>
          </w:rPr>
          <w:t>IIBA membership</w:t>
        </w:r>
      </w:hyperlink>
      <w:r>
        <w:t xml:space="preserve"> (community, last checked 2026-10)</w:t>
      </w:r>
    </w:p>
    <w:p>
      <w:pPr>
        <w:pStyle w:val="ListBullet"/>
      </w:pPr>
      <w:hyperlink r:id="rId22">
        <w:r>
          <w:rPr>
            <w:color w:val="1D4ED8"/>
          </w:rPr>
          <w:t>OMG managed communities</w:t>
        </w:r>
      </w:hyperlink>
      <w:r>
        <w:t xml:space="preserve"> (community, last checked 2026-10)</w:t>
      </w:r>
    </w:p>
    <w:p>
      <w:pPr>
        <w:pStyle w:val="ListBullet"/>
      </w:pPr>
      <w:hyperlink r:id="rId23">
        <w:r>
          <w:rPr>
            <w:color w:val="1D4ED8"/>
          </w:rPr>
          <w:t>About IIBA</w:t>
        </w:r>
      </w:hyperlink>
      <w:r>
        <w:t xml:space="preserve"> (official, last checked 2026-10)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 Id="rId12" Type="http://schemas.openxmlformats.org/officeDocument/2006/relationships/hyperlink" Target="https://www.iiba.org/knowledgehub/" TargetMode="External"/><Relationship Id="rId13" Type="http://schemas.openxmlformats.org/officeDocument/2006/relationships/hyperlink" Target="https://www.iiba.org/" TargetMode="External"/><Relationship Id="rId14" Type="http://schemas.openxmlformats.org/officeDocument/2006/relationships/hyperlink" Target="https://agilemanifesto.org/" TargetMode="External"/><Relationship Id="rId15" Type="http://schemas.openxmlformats.org/officeDocument/2006/relationships/hyperlink" Target="https://agilemanifesto.org/principles.html" TargetMode="External"/><Relationship Id="rId16" Type="http://schemas.openxmlformats.org/officeDocument/2006/relationships/hyperlink" Target="https://www.omg.org/spec/BPMN/2.0/About-BPMN" TargetMode="External"/><Relationship Id="rId17" Type="http://schemas.openxmlformats.org/officeDocument/2006/relationships/hyperlink" Target="https://www.omg.org/spec/BPMN/2.0/PDF" TargetMode="External"/><Relationship Id="rId18" Type="http://schemas.openxmlformats.org/officeDocument/2006/relationships/hyperlink" Target="https://www.omg.org/spec/BPMN/2.0.2/About-BPMN" TargetMode="External"/><Relationship Id="rId19" Type="http://schemas.openxmlformats.org/officeDocument/2006/relationships/hyperlink" Target="https://www.omg.org/spec/UML/2.5.1/About-UML" TargetMode="External"/><Relationship Id="rId20" Type="http://schemas.openxmlformats.org/officeDocument/2006/relationships/hyperlink" Target="https://www.omg.org/spec/UML/2.5.1/PDF" TargetMode="External"/><Relationship Id="rId21" Type="http://schemas.openxmlformats.org/officeDocument/2006/relationships/hyperlink" Target="https://www.iiba.org/membership/" TargetMode="External"/><Relationship Id="rId22" Type="http://schemas.openxmlformats.org/officeDocument/2006/relationships/hyperlink" Target="https://www.omg.org/communities/" TargetMode="External"/><Relationship Id="rId23" Type="http://schemas.openxmlformats.org/officeDocument/2006/relationships/hyperlink" Target="https://www.iiba.org/about-iib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