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Transcription and assist are features you turn on</w:t>
      </w:r>
    </w:p>
    <w:p>
      <w:r>
        <w:t>Features, not a secret model name.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confirm. GenAI Studio is described as engine-agnostic. This lab does not name the default model for a new domain.. last checked 2026-10.</w:t>
      </w:r>
    </w:p>
  </w:body>
</w:document>
</file>