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Screen pop down, voice up</w:t>
      </w:r>
    </w:p>
    <w:p>
      <w:r>
        <w:t>Split the paths.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Campaign profiles. vendor. https://documentation.five9.com/bundle/basic-admin/page/basic-admin/campaign-profiles/_ch-campaign-profiles.htm. last checked 2026-10.</w:t>
      </w:r>
    </w:p>
    <w:p>
      <w:r>
        <w:t>Web adapter requirements. vendor. https://documentation.five9.com/bundle/technical-reqs/page/technical-reqs/agent-integrations/web-based-adapters/application-requirements.htm. last checked 2026-10.</w:t>
      </w:r>
    </w:p>
    <w:p>
      <w:r>
        <w:t>RFC 8446, TLS 1.3. rfc. https://www.rfc-editor.org/rfc/rfc8446. last checked 2026-10.</w:t>
      </w:r>
    </w:p>
    <w:p>
      <w:r>
        <w:t>RFC 6455, The WebSocket Protocol. rfc. https://www.rfc-editor.org/rfc/rfc6455. last checked 2026-10.</w:t>
      </w:r>
    </w:p>
  </w:body>
</w:document>
</file>