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Practice is the domain, not the badge</w:t>
      </w:r>
    </w:p>
    <w:p>
      <w:r>
        <w:t>Touch the object the page names.</w:t>
      </w:r>
    </w:p>
    <w:p>
      <w:r>
        <w:t>Sources and go deeper</w:t>
      </w:r>
    </w:p>
    <w:p>
      <w:r>
        <w:t>Planning your implementation. vendor. https://documentation.five9.com/bundle/basic-admin/page/basic-admin/intro/planning-your-implementation.htm. last checked 2026-10.</w:t>
      </w:r>
    </w:p>
    <w:p>
      <w:r>
        <w:t>IVR modules. vendor. https://documentation.five9.com/bundle/ivr-admin/page/ivr-admin/modules/_ch-modules.htm. last checked 2026-10.</w:t>
      </w:r>
    </w:p>
    <w:p>
      <w:r>
        <w:t>Administrator training classes. community. https://community.five9.com/s/article/Five9-University-Five9-Administrator-Training-Classes?language=en_US. last checked 2026-10.</w:t>
      </w:r>
    </w:p>
    <w:p>
      <w:r>
        <w:t>Interactive voice response. wikipedia. https://en.wikipedia.org/wiki/Interactive_voice_response. last checked 2026-10.</w:t>
      </w:r>
    </w:p>
  </w:body>
</w:document>
</file>