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Time zone and call analysis are guarded defaults · Ecosystem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confirm. The exact hour-by-hour time zone matrix is in the campaign guide and was not copied here. Local telemarketing law is not Five9's default screen.. last checked 2026-10.</w:t>
      </w:r>
    </w:p>
  </w:body>
</w:document>
</file>