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task key is not a vibe · Visual</w:t>
      </w:r>
    </w:p>
    <w:p>
      <w:r>
        <w:t>Key, then task, then VCC.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Voice IVA Transfer property names are not copied key-for-key from the digital article.. last checked 2026-10.</w:t>
      </w:r>
    </w:p>
  </w:body>
</w:document>
</file>