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DNS, codecs, and the default voice · Visual</w:t>
      </w:r>
    </w:p>
    <w:p>
      <w:r>
        <w:t>Keep practitioner numbers in their own column.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RFC 3261. rfc. https://www.rfc-editor.org/rfc/rfc3261. last checked 2026-10.</w:t>
      </w:r>
    </w:p>
    <w:p>
      <w:r>
        <w:t>RFC 4733. rfc. https://www.rfc-editor.org/rfc/rfc4733.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1035, domain names. rfc. https://www.rfc-editor.org/rfc/rfc1035. last checked 2026-10.</w:t>
      </w:r>
    </w:p>
    <w:p>
      <w:r>
        <w:t>RFC 2782, DNS SRV. rfc. https://www.rfc-editor.org/rfc/rfc2782. last checked 2026-10.</w:t>
      </w:r>
    </w:p>
    <w:p>
      <w:r>
        <w:t>confirm. A 20 ms packet time is a practitioner note about Cisco gateways, not a figure quoted from the Five9 technical requirements in this lab.. last checked 2026-10.</w:t>
      </w:r>
    </w:p>
  </w:body>
</w:document>
</file>