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There is no import button · Visual</w:t>
      </w:r>
    </w:p>
    <w:p>
      <w:r>
        <w:t>Keep the bridge in its own column.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3261, SIP: Session Initiation Protocol. rfc. https://www.rfc-editor.org/rfc/rfc3261. last checked 2026-10.</w:t>
      </w:r>
    </w:p>
    <w:p>
      <w:r>
        <w:t>confirm. Five9 publishes Cisco as a SIP gateway type. This lab did not find an official UCCX or UCCE migration wizard. Mappings below are instructional.. last checked 2026-10.</w:t>
      </w:r>
    </w:p>
  </w:body>
</w:document>
</file>