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Cutover morning is a checklist, not a mood · Visual</w:t>
      </w:r>
    </w:p>
    <w:p>
      <w:r>
        <w:t>Each line is a go or a stop.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Inbound campaigns. vendor. https://documentation.five9.com/bundle/campaign-admin/page/campaign-admin/creating-campaigns/types-of-campaigns/inbound-campaigns.htm. last checked 2026-10.</w:t>
      </w:r>
    </w:p>
    <w:p>
      <w:r>
        <w:t>E911 data sheet. vendor. https://www.five9.com/sites/default/files/2022-11/Data-sheet-Five9-emergency-services%20%28E911%29.PDF. last checked 2026-10.</w:t>
      </w:r>
    </w:p>
    <w:p>
      <w:r>
        <w:t>Data retention. vendor. https://www.five9.com/legal/dataretention.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ITU-T E.164, international public telecommunication numbering. standard. https://www.itu.int/rec/T-REC-E.164. last checked 2026-10.</w:t>
      </w:r>
    </w:p>
    <w:p>
      <w:r>
        <w:t>Enhanced 9-1-1. wikipedia. https://en.wikipedia.org/wiki/Enhanced_9-1-1. last checked 2026-10.</w:t>
      </w:r>
    </w:p>
    <w:p>
      <w:r>
        <w:t>confirm. This checklist is a teaching bridge for cutover discipline. It is not an official Five9 UCCE runbook.. last checked 2026-10.</w:t>
      </w:r>
    </w:p>
  </w:body>
</w:document>
</file>