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Abandon rate is a regulated posture · Worked example</w:t>
      </w:r>
    </w:p>
    <w:p>
      <w:r>
        <w:t>Say what you will not change, and which country's window applies to a fictional US campaign.</w:t>
      </w:r>
    </w:p>
    <w:p>
      <w:r>
        <w:t>The warning</w:t>
      </w:r>
    </w:p>
    <w:p>
      <w:r>
        <w:t>30 days</w:t>
      </w:r>
    </w:p>
    <w:p>
      <w:r>
        <w:t>No invented percent</w:t>
      </w:r>
    </w:p>
    <w:p>
      <w:r>
        <w:t>Manual touch is not used as a synonym.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confirm. This lab does not publish a numeric default for Max Abandoned Call Percentage. The defaults page describes the windows and the warning, not a percent we are willing to repeat.. last checked 2026-10.</w:t>
      </w:r>
    </w:p>
  </w:body>
</w:document>
</file>