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the map before you add a box · Learn it in 5 minutes</w:t>
      </w:r>
    </w:p>
    <w:p>
      <w:r>
        <w:t>Integration maps fail when a logo is enough. Salesforce in the IVR is a module. Salesforce on the desktop is an adapter. Certified Caller is not the ANI. RedSky is not the ITSP. Verint is not automatically your WEM. Studio regions are not Equinix edges.</w:t>
      </w:r>
    </w:p>
    <w:p>
      <w:r>
        <w:t>Open the ecosystem page, filter the glossary, and check the integration table against whatever you are about to buy. If the row is missing, you do not yet have a citation.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Certified Caller. vendor. https://www.five9.com/resources/five9_certified_caller.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