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A blend you can defend</w:t>
      </w:r>
    </w:p>
    <w:p>
      <w:r>
        <w:t>Six nouns, six screens.</w:t>
      </w:r>
    </w:p>
    <w:p>
      <w:r>
        <w:t>Sources and go deeper</w:t>
      </w:r>
    </w:p>
    <w:p>
      <w:r>
        <w:t>Outbound product page. vendor. https://www.five9.com/products/capabilities/outbound-contact-center. last checked 2026-10.</w:t>
      </w:r>
    </w:p>
    <w:p>
      <w:r>
        <w:t>Dialer product page. vendor. https://www.five9.com/products/capabilities/dialer-system. last checked 2026-10.</w:t>
      </w:r>
    </w:p>
    <w:p>
      <w:r>
        <w:t>Default campaign settings. vendor. https://documentation.five9.com/bundle/campaign-admin/page/campaign-admin/configuring-campaigns/configuring-dialing-modes/default-campaign-settings.htm. last checked 2026-10.</w:t>
      </w:r>
    </w:p>
    <w:p>
      <w:r>
        <w:t>Planning your implementation. vendor. https://documentation.five9.com/bundle/basic-admin/page/basic-admin/intro/planning-your-implementation.htm. last checked 2026-10.</w:t>
      </w:r>
    </w:p>
  </w:body>
</w:document>
</file>