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DNS, codecs, and the default voice</w:t>
      </w:r>
    </w:p>
    <w:p>
      <w:r>
        <w:t>Keep practitioner numbers in their own column.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4733. rfc. https://www.rfc-editor.org/rfc/rfc4733.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confirm. A 20 ms packet time is a practitioner note about Cisco gateways, not a figure quoted from the Five9 technical requirements in this lab. last checked 2026-10.</w:t>
      </w:r>
    </w:p>
  </w:body>
</w:document>
</file>