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gateway cut, without pretending to be the CUBE guide</w:t>
      </w:r>
    </w:p>
    <w:p>
      <w:r>
        <w:t>Do not let one document speak for the other.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confirm. NANP versus E.164, 20 ms ptime, and 'no internal extensions' are practitioner cautions. They are not quoted here as Five9 requirements. last checked 2026-10.</w:t>
      </w:r>
    </w:p>
  </w:body>
</w:document>
</file>