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Studio has regions · Visual</w:t>
      </w:r>
    </w:p>
    <w:p>
      <w:r>
        <w:t>Pick the region that matches the domain.</w:t>
      </w:r>
    </w:p>
    <w:p>
      <w:r>
        <w:t>Sources and go deeper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IANA service names and port numbers. ports. https://www.iana.org/assignments/service-names-port-numbers/service-names-port-numbers.xhtml. last checked 2026-10.</w:t>
      </w:r>
    </w:p>
    <w:p>
      <w:r>
        <w:t>RFC 3261, SIP: Session Initiation Protocol. rfc. https://www.rfc-editor.org/rfc/rfc3261. last checked 2026-10.</w:t>
      </w:r>
    </w:p>
    <w:p>
      <w:r>
        <w:t>RFC 1035, domain names. rfc. https://www.rfc-editor.org/rfc/rfc1035. last checked 2026-10.</w:t>
      </w:r>
    </w:p>
    <w:p>
      <w:r>
        <w:t>RFC 2782, DNS SRV. rfc. https://www.rfc-editor.org/rfc/rfc2782. last checked 2026-10.</w:t>
      </w:r>
    </w:p>
    <w:p>
      <w:r>
        <w:t>RFC 9293, Transmission Control Protocol. rfc. https://www.rfc-editor.org/rfc/rfc9293. last checked 2026-10.</w:t>
      </w:r>
    </w:p>
    <w:p>
      <w:r>
        <w:t>RFC 768, User Datagram Protocol. rfc. https://www.rfc-editor.org/rfc/rfc768. last checked 2026-10.</w:t>
      </w:r>
    </w:p>
    <w:p>
      <w:r>
        <w:t>confirm. Studio signaling ports in the PDF are easy to misread as universal VCC trunk ports. Confirm which SBC your domain uses. last checked 2026-10.</w:t>
      </w:r>
    </w:p>
  </w:body>
</w:document>
</file>