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One profile, many campaigns</w:t>
      </w:r>
    </w:p>
    <w:p>
      <w:r>
        <w:t>The profile decorates the campaign. It does not replace it.</w:t>
      </w:r>
    </w:p>
    <w:p>
      <w:r>
        <w:t>Sources and go deeper</w:t>
      </w:r>
    </w:p>
    <w:p>
      <w:r>
        <w:t>Campaign profiles. vendor. https://documentation.five9.com/bundle/basic-admin/page/basic-admin/campaign-profiles/_ch-campaign-profiles.htm. last checked 2026-10.</w:t>
      </w:r>
    </w:p>
    <w:p>
      <w:r>
        <w:t>Assign a campaign profile. community. https://community.five9.com/s/article/Administrator-How-to-Create-Add-a-Campaign-Profile-and-Assign-it-to-a-Campaign?language=en_US.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