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address has to be the room they are in</w:t>
      </w:r>
    </w:p>
    <w:p>
      <w:r>
        <w:t>History only helps after.</w:t>
      </w:r>
    </w:p>
    <w:p>
      <w:r>
        <w:t>Sources and go deeper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End user license agreement. vendor. https://www.five9.com/legal/end-user-license-agreement. last checked 2026-10.</w:t>
      </w:r>
    </w:p>
    <w:p>
      <w:r>
        <w:t>MyE911 call history. community. https://community.five9.com/s/article/MyE911-Call-History?language=en_US.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</w:body>
</w:document>
</file>