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Abandon rate is a regulated posture</w:t>
      </w:r>
    </w:p>
    <w:p>
      <w:r>
        <w:t>The warning is the point.</w:t>
      </w:r>
    </w:p>
    <w:p>
      <w:r>
        <w:t>Sources and go deeper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TCPA manual touch. community. https://community.five9.com/s/article/Administrator-TCPA-Manual-Touch-Dialing-Mode?language=en_US. last checked 2026-10.</w:t>
      </w:r>
    </w:p>
    <w:p>
      <w:r>
        <w:t>Telephone Consumer Protection Act of 1991. wikipedia. https://en.wikipedia.org/wiki/Telephone_Consumer_Protection_Act_of_1991. last checked 2026-10.</w:t>
      </w:r>
    </w:p>
    <w:p>
      <w:r>
        <w:t>confirm. This lab does not publish a numeric default for Max Abandoned Call Percentage. The defaults page describes the windows and the warning, not a percent we are willing to repeat.. last checked 2026-10.</w:t>
      </w:r>
    </w:p>
  </w:body>
</w:document>
</file>