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Tracks</w:t>
      </w:r>
    </w:p>
    <w:p>
      <w:r>
        <w:t>Foundations and the domain</w:t>
      </w:r>
    </w:p>
    <w:p>
      <w:r>
        <w:t>VCC administration</w:t>
      </w:r>
    </w:p>
    <w:p>
      <w:r>
        <w:t>Inbound campaigns</w:t>
      </w:r>
    </w:p>
    <w:p>
      <w:r>
        <w:t>Outbound lists</w:t>
      </w:r>
    </w:p>
    <w:p>
      <w:r>
        <w:t>Dialer modes and pacing</w:t>
      </w:r>
    </w:p>
    <w:p>
      <w:r>
        <w:t>Blended operations and autodial</w:t>
      </w:r>
    </w:p>
    <w:p>
      <w:r>
        <w:t>IVR scripts</w:t>
      </w:r>
    </w:p>
    <w:p>
      <w:r>
        <w:t>Skills routing</w:t>
      </w:r>
    </w:p>
    <w:p>
      <w:r>
        <w:t>Agent Desktop Plus</w:t>
      </w:r>
    </w:p>
    <w:p>
      <w:r>
        <w:t>Workforce engagement</w:t>
      </w:r>
    </w:p>
    <w:p>
      <w:r>
        <w:t>IVA and GenAI</w:t>
      </w:r>
    </w:p>
    <w:p>
      <w:r>
        <w:t>CRM integrations</w:t>
      </w:r>
    </w:p>
    <w:p>
      <w:r>
        <w:t>SIP and carriers</w:t>
      </w:r>
    </w:p>
    <w:p>
      <w:r>
        <w:t>APIs and reporting</w:t>
      </w:r>
    </w:p>
    <w:p>
      <w:r>
        <w:t>From UCCX and UCCE</w:t>
      </w:r>
    </w:p>
    <w:p>
      <w:r>
        <w:t>Safety and compliance</w:t>
      </w:r>
    </w:p>
    <w:p>
      <w:r>
        <w:t>Ecosystem</w:t>
      </w:r>
    </w:p>
    <w:p>
      <w:r>
        <w:t>Certifications and practice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