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Inbound design review · Worked example</w:t>
      </w:r>
    </w:p>
    <w:p>
      <w:r>
        <w:t>Use a real or sample campaign and tick the seven.</w:t>
      </w:r>
    </w:p>
    <w:p>
      <w:r>
        <w:t>DNIS</w:t>
      </w:r>
    </w:p>
    <w:p>
      <w:r>
        <w:t>State</w:t>
      </w:r>
    </w:p>
    <w:p>
      <w:r>
        <w:t>Script</w:t>
      </w:r>
    </w:p>
    <w:p>
      <w:r>
        <w:t>Skill tab</w:t>
      </w:r>
    </w:p>
    <w:p>
      <w:r>
        <w:t>Overflow</w:t>
      </w:r>
    </w:p>
    <w:p>
      <w:r>
        <w:t>Schedule</w:t>
      </w:r>
    </w:p>
    <w:p>
      <w:r>
        <w:t>Pause</w:t>
      </w:r>
    </w:p>
    <w:p>
      <w:r>
        <w:t>Each tick names a screen.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RFC 3261, SIP: Session Initiation Protocol. rfc. https://www.rfc-editor.org/rfc/rfc3261.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