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Time zone and call analysis are guarded defaults · Sources and go deeper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confirm. The exact hour-by-hour time zone matrix is in the campaign guide and was not copied here. Local telemarketing law is not Five9's default screen.. last checked 2026-10.</w:t>
      </w:r>
    </w:p>
  </w:body>
</w:document>
</file>