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Priority and ratio are campaign settings · Sources and go deeper</w:t>
      </w:r>
    </w:p>
    <w:p>
      <w:r>
        <w:t>Sources and go deeper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Skill groups. vendor. https://documentation.five9.com/bundle/basic-admin/page/basic-admin/skill-groups/_ch-skill-groups.htm. last checked 2026-10.</w:t>
      </w:r>
    </w:p>
    <w:p>
      <w:r>
        <w:t>confirm. The numeric behavior of campaign priority and ratio settings is in a guide topic this lab did not quote. Do not copy a ratio from the simulator into that dialog.. last checked 2026-10.</w:t>
      </w:r>
    </w:p>
  </w:body>
</w:document>
</file>