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If/Else is two ways. Case is more · Sources and go deeper</w:t>
      </w:r>
    </w:p>
    <w:p>
      <w:r>
        <w:t>Sources and go deeper</w:t>
      </w:r>
    </w:p>
    <w:p>
      <w:r>
        <w:t>If/Else module. vendor. https://documentation.five9.com/bundle/ivr-admin/page/ivr-admin/modules/ifelse-module.htm. last checked 2026-10.</w:t>
      </w:r>
    </w:p>
    <w:p>
      <w:r>
        <w:t>IVR modules. vendor. https://documentation.five9.com/bundle/ivr-admin/page/ivr-admin/modules/_ch-modules.htm. last checked 2026-10.</w:t>
      </w:r>
    </w:p>
    <w:p>
      <w:r>
        <w:t>Interactive voice response. wikipedia. https://en.wikipedia.org/wiki/Interactive_voice_response. last checked 2026-10.</w:t>
      </w:r>
    </w:p>
  </w:body>
</w:document>
</file>