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IVA, foreign scripts, DNC, and leaving the platform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describe IVA Transfer and a digital ChatBot integration separately. This lab does not claim they share one property sheet.. last checked 2026-10.</w:t>
      </w:r>
    </w:p>
  </w:body>
</w:document>
</file>