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IVA, foreign scripts, DNC, and leaving the platform · Worked example</w:t>
      </w:r>
    </w:p>
    <w:p>
      <w:r>
        <w:t>On a sketch, name the module for each arrow.</w:t>
      </w:r>
    </w:p>
    <w:p>
      <w:r>
        <w:t>Bot</w:t>
      </w:r>
    </w:p>
    <w:p>
      <w:r>
        <w:t>Other script</w:t>
      </w:r>
    </w:p>
    <w:p>
      <w:r>
        <w:t>Opt out</w:t>
      </w:r>
    </w:p>
    <w:p>
      <w:r>
        <w:t>Outside number</w:t>
      </w:r>
    </w:p>
    <w:p>
      <w:r>
        <w:t>Language</w:t>
      </w:r>
    </w:p>
    <w:p>
      <w:r>
        <w:t>No arrow says 'stuff'.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Public pages describe IVA Transfer and a digital ChatBot integration separately. This lab does not claim they share one property sheet.. last checked 2026-10.</w:t>
      </w:r>
    </w:p>
  </w:body>
</w:document>
</file>