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IVA, foreign scripts, DNC, and leaving the platform · Sources and go deeper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describe IVA Transfer and a digital ChatBot integration separately. This lab does not claim they share one property sheet.. last checked 2026-10.</w:t>
      </w:r>
    </w:p>
  </w:body>
</w:document>
</file>