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task key is not a vibe · Ecosystem</w:t>
      </w:r>
    </w:p>
    <w:p>
      <w:r>
        <w:t>Sources and go deeper</w:t>
      </w:r>
    </w:p>
    <w:p>
      <w:r>
        <w:t>Studio digital IVA with VCC. community. https://community.five9.com/s/article/Studio-7-Integrate-Digital-IVA-in-Studio-with-VCC?language=en_US.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Voice IVA Transfer property names are not copied key-for-key from the digital article.. last checked 2026-10.</w:t>
      </w:r>
    </w:p>
  </w:body>
</w:document>
</file>