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gateway cut, without pretending to be the CUBE guide · Worked example</w:t>
      </w:r>
    </w:p>
    <w:p>
      <w:r>
        <w:t>Two columns: what the Five9 PDF says, and what you still must confirm on the gateway.</w:t>
      </w:r>
    </w:p>
    <w:p>
      <w:r>
        <w:t>Four PDF facts</w:t>
      </w:r>
    </w:p>
    <w:p>
      <w:r>
        <w:t>Three open gateway questions</w:t>
      </w:r>
    </w:p>
    <w:p>
      <w:r>
        <w:t>The second column is labeled unconfirmed.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8446, TLS 1.3. rfc. https://www.rfc-editor.org/rfc/rfc8446.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RFC 1918, private internet addresses. rfc. https://www.rfc-editor.org/rfc/rfc1918. last checked 2026-10.</w:t>
      </w:r>
    </w:p>
    <w:p>
      <w:r>
        <w:t>RFC 4787, NAT behavior for UDP. rfc. https://www.rfc-editor.org/rfc/rfc4787. last checked 2026-10.</w:t>
      </w:r>
    </w:p>
    <w:p>
      <w:r>
        <w:t>confirm. NANP versus E.164, 20 ms ptime, and 'no internal extensions' are practitioner cautions. They are not quoted here as Five9 requirements.. last checked 2026-10.</w:t>
      </w:r>
    </w:p>
  </w:body>
</w:document>
</file>