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Attestation is not an ANI field · Sources and go deeper</w:t>
      </w:r>
    </w:p>
    <w:p>
      <w:r>
        <w:t>Sources and go deeper</w:t>
      </w:r>
    </w:p>
    <w:p>
      <w:r>
        <w:t>Certified Caller. vendor. https://www.five9.com/resources/five9_certified_caller. last checked 2026-10.</w:t>
      </w:r>
    </w:p>
    <w:p>
      <w:r>
        <w:t>Default campaign settings. vendor. https://documentation.five9.com/bundle/campaign-admin/page/campaign-admin/configuring-campaigns/configuring-dialing-modes/default-campaign-settings.htm. last checked 2026-10.</w:t>
      </w:r>
    </w:p>
    <w:p>
      <w:r>
        <w:t>RFC 8224, Authenticated Identity Management in SIP. rfc. https://www.rfc-editor.org/rfc/rfc8224. last checked 2026-10.</w:t>
      </w:r>
    </w:p>
    <w:p>
      <w:r>
        <w:t>ITU-T E.164, international public telecommunication numbering. standard. https://www.itu.int/rec/T-REC-E.164. last checked 2026-10.</w:t>
      </w:r>
    </w:p>
  </w:body>
</w:document>
</file>