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AI agents are a handoff with a name · Worked example</w:t>
      </w:r>
    </w:p>
    <w:p>
      <w:r>
        <w:t>Name the task, the key, and the skill a bot must be able to reach.</w:t>
      </w:r>
    </w:p>
    <w:p>
      <w:r>
        <w:t>Region</w:t>
      </w:r>
    </w:p>
    <w:p>
      <w:r>
        <w:t>Key</w:t>
      </w:r>
    </w:p>
    <w:p>
      <w:r>
        <w:t>Skill</w:t>
      </w:r>
    </w:p>
    <w:p>
      <w:r>
        <w:t>You did not name a model.</w:t>
      </w:r>
    </w:p>
    <w:p>
      <w:r>
        <w:t>Sources and go deeper</w:t>
      </w:r>
    </w:p>
    <w:p>
      <w:r>
        <w:t>Five9 Engage. vendor. https://www.five9.com/platform/self-service-and-engagement. last checked 2026-10.</w:t>
      </w:r>
    </w:p>
    <w:p>
      <w:r>
        <w:t>GenAI Studio. vendor. https://www.five9.com/products/capabilities/gen-ai-studio. last checked 2026-10.</w:t>
      </w:r>
    </w:p>
    <w:p>
      <w:r>
        <w:t>Agent Desktop. vendor. https://www.five9.com/products/capabilities/agent-desktop.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GenAI Studio's product page describes an engine-agnostic studio and names Agent Assist summaries as an initial consumer. It does not name a default model for this lab to repeat.. last checked 2026-10.</w:t>
      </w:r>
    </w:p>
  </w:body>
</w:document>
</file>