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AI agents are a handoff with a name · Quiz</w:t>
      </w:r>
    </w:p>
    <w:p>
      <w:r>
        <w:t>This lab names GenAI Studio's default model. True or false?</w:t>
      </w:r>
    </w:p>
    <w:p>
      <w:r>
        <w:t>IVA Transfer is</w:t>
      </w:r>
    </w:p>
    <w:p>
      <w:r>
        <w:t>A digital IVA reaches VCC with</w:t>
      </w:r>
    </w:p>
    <w:p>
      <w:r>
        <w:t>Agent Assist summaries are</w:t>
      </w:r>
    </w:p>
    <w:p>
      <w:r>
        <w:t>A bot with no transfer target is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GenAI Studio's product page describes an engine-agnostic studio and names Agent Assist summaries as an initial consumer. It does not name a default model for this lab to repeat.. last checked 2026-10.</w:t>
      </w:r>
    </w:p>
  </w:body>
</w:document>
</file>