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AI agents are a handoff with a name · Sources and go deeper</w:t>
      </w:r>
    </w:p>
    <w:p>
      <w:r>
        <w:t>Sources and go deeper</w:t>
      </w:r>
    </w:p>
    <w:p>
      <w:r>
        <w:t>Five9 Engage. vendor. https://www.five9.com/platform/self-service-and-engagement. last checked 2026-10.</w:t>
      </w:r>
    </w:p>
    <w:p>
      <w:r>
        <w:t>GenAI Studio. vendor. https://www.five9.com/products/capabilities/gen-ai-studio. last checked 2026-10.</w:t>
      </w:r>
    </w:p>
    <w:p>
      <w:r>
        <w:t>Agent Desktop. vendor. https://www.five9.com/products/capabilities/agent-desktop.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GenAI Studio's product page describes an engine-agnostic studio and names Agent Assist summaries as an initial consumer. It does not name a default model for this lab to repeat.. last checked 2026-10.</w:t>
      </w:r>
    </w:p>
  </w:body>
</w:document>
</file>