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Read this before you pick a track</w:t>
      </w:r>
    </w:p>
    <w:p>
      <w:r>
        <w:t>Domain, campaign types, and the outbound build order.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Skill groups. vendor. https://documentation.five9.com/bundle/basic-admin/page/basic-admin/skill-groups/_ch-skill-groups.htm. last checked 2026-10.</w:t>
      </w:r>
    </w:p>
    <w:p>
      <w:r>
        <w:t>RFC 3261, SIP: Session Initiation Protocol. rfc. https://www.rfc-editor.org/rfc/rfc3261.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This lesson's CUCM comparison is a teaching map. Five9 does not publish it as a migration product.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Outbound product page. vendor. https://www.five9.com/products/capabilities/outbound-contact-center. last checked 2026-10.</w:t>
      </w:r>
    </w:p>
    <w:p>
      <w:r>
        <w:t>ITU-T E.164, international public telecommunication numbering. standard. https://www.itu.int/rec/T-REC-E.164.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</w:body>
</w:document>
</file>