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task key is not a vibe</w:t>
      </w:r>
    </w:p>
    <w:p>
      <w:r>
        <w:t>Key, then task, then VCC.</w:t>
      </w:r>
    </w:p>
    <w:p>
      <w:r>
        <w:t>Sources and go deeper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Voice IVA Transfer property names are not copied key-for-key from the digital article. last checked 2026-10.</w:t>
      </w:r>
    </w:p>
  </w:body>
</w:document>
</file>