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address has to be the room they are in</w:t>
      </w:r>
    </w:p>
    <w:p>
      <w:r>
        <w:t>History only helps after.</w:t>
      </w:r>
    </w:p>
    <w:p>
      <w:r>
        <w:t>Sources and go deeper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End user license agreement. vendor. https://www.five9.com/legal/end-user-license-agreement. last checked 2026-10.</w:t>
      </w:r>
    </w:p>
    <w:p>
      <w:r>
        <w:t>MyE911 call history. community. https://community.five9.com/s/article/MyE911-Call-History?language=en_US. last checked 2026-10.</w:t>
      </w:r>
    </w:p>
    <w:p>
      <w:r>
        <w:t>RFC 3261, SIP: Session Initiation Protocol. rfc. https://www.rfc-editor.org/rfc/rfc3261. last checked 2026-10.</w:t>
      </w:r>
    </w:p>
    <w:p>
      <w:r>
        <w:t>Enhanced 9-1-1. wikipedia. https://en.wikipedia.org/wiki/Enhanced_9-1-1. last checked 2026-10.</w:t>
      </w:r>
    </w:p>
  </w:body>
</w:document>
</file>