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Native WEM and a partner path both exist</w:t>
      </w:r>
    </w:p>
    <w:p>
      <w:r>
        <w:t>Ask which one this floor bought.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Workforce management. vendor. https://www.five9.com/platform/insights-and-analytics/workforce-management. last checked 2026-10.</w:t>
      </w:r>
    </w:p>
    <w:p>
      <w:r>
        <w:t>confirm. This lab does not know which WEM suite a given customer bought. The WFM CRM card read here names Oracle and ServiceNow, not the longer adapter list. last checked 2026-10.</w:t>
      </w:r>
    </w:p>
  </w:body>
</w:document>
</file>