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Time zone and call analysis are guarded defaults · Visual</w:t>
      </w:r>
    </w:p>
    <w:p>
      <w:r>
        <w:t>The warning exists because the defaults are the vendor's compliance posture.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 last checked 2026-10.</w:t>
      </w:r>
    </w:p>
  </w:body>
</w:document>
</file>