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IVA, foreign scripts, DNC, and leaving the platform · Visual</w:t>
      </w:r>
    </w:p>
    <w:p>
      <w:r>
        <w:t>Name the module.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describe IVA Transfer and a digital ChatBot integration separately. This lab does not claim they share one property sheet. last checked 2026-10.</w:t>
      </w:r>
    </w:p>
  </w:body>
</w:document>
</file>