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The agent should not need a second login · Visual</w:t>
      </w:r>
    </w:p>
    <w:p>
      <w:r>
        <w:t>Then the schedule has to be real.</w:t>
      </w:r>
    </w:p>
    <w:p>
      <w:r>
        <w:t>Sources and go deeper</w:t>
      </w:r>
    </w:p>
    <w:p>
      <w:r>
        <w:t>Agent Desktop. vendor. https://www.five9.com/products/capabilities/agent-desktop. last checked 2026-10.</w:t>
      </w:r>
    </w:p>
    <w:p>
      <w:r>
        <w:t>Workforce engagement management. vendor. https://www.five9.com/products/capabilities/workforce-optimization. last checked 2026-10.</w:t>
      </w:r>
    </w:p>
    <w:p>
      <w:r>
        <w:t>confirm. Bidding rules are suite-specific and were not copied from a manual. last checked 2026-10.</w:t>
      </w:r>
    </w:p>
  </w:body>
</w:document>
</file>