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Adding skills to a campaign points at another guide · Visual</w:t>
      </w:r>
    </w:p>
    <w:p>
      <w:r>
        <w:t>The pointer is not the other guide.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Configuring Skills and the Skill Transfer module page did not return a body in this check. No priority value is stated. last checked 2026-10.</w:t>
      </w:r>
    </w:p>
  </w:body>
</w:document>
</file>