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Cutover notes</w:t>
      </w:r>
    </w:p>
    <w:p>
      <w:r>
        <w:t>Name the tenant</w:t>
      </w:r>
    </w:p>
    <w:p>
      <w:r>
        <w:t>Name the PSTN option</w:t>
      </w:r>
    </w:p>
    <w:p>
      <w:r>
        <w:t>Park the old route</w:t>
      </w:r>
    </w:p>
    <w:p>
      <w:r>
        <w:t>Call the sample number</w:t>
      </w:r>
    </w:p>
    <w:p>
      <w:r>
        <w:t>Read CQD after, not during the first call</w:t>
      </w:r>
    </w:p>
    <w:p>
      <w:r>
        <w:t>Independent free learning-only student project. Not affiliated. Contact https://cyphermonkeylabs.com/#contact. Nothing sold. CypherMonkey Labs. © 2026 CypherMonkeyLabs.</w:t>
      </w:r>
    </w:p>
  </w:body>
</w:document>
</file>