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SBC pairing checklist</w:t>
      </w:r>
    </w:p>
    <w:p>
      <w:r>
        <w:t>Verified domain on the SBC FQDN</w:t>
      </w:r>
    </w:p>
    <w:p>
      <w:r>
        <w:t>Certified software release</w:t>
      </w:r>
    </w:p>
    <w:p>
      <w:r>
        <w:t>TCP 5061 TLS</w:t>
      </w:r>
    </w:p>
    <w:p>
      <w:r>
        <w:t>OPTIONS reachability</w:t>
      </w:r>
    </w:p>
    <w:p>
      <w:r>
        <w:t>Voice route and policy assigned</w:t>
      </w:r>
    </w:p>
    <w:p>
      <w:r>
        <w:t>Sample numbers only: +1 425 555 0100</w:t>
      </w:r>
    </w:p>
    <w:p>
      <w:r>
        <w:t>Independent free learning-only student project. Not affiliated. Contact https://cyphermonkeylabs.com/#contact. Nothing sold. CypherMonkey Labs. © 2026 CypherMonkeyLabs.</w:t>
      </w:r>
    </w:p>
  </w:body>
</w:document>
</file>