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-Lab_Level-03_Functions-and-Scope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Calibri" w:hAnsi="Calibri" w:cs="Calibri"/>
          <w:b/>
          <w:color w:val="945E3A"/>
          <w:sz w:val="52"/>
        </w:rPr>
        <w:t>Functions and Scope</w:t>
      </w:r>
    </w:p>
    <w:p>
      <w:r>
        <w:rPr>
          <w:rFonts w:ascii="Calibri" w:hAnsi="Calibri" w:cs="Calibri"/>
          <w:b/>
          <w:color w:val="945E3A"/>
          <w:sz w:val="24"/>
        </w:rPr>
        <w:t>Level 03  ·  about 6 hours  ·  Python 3.8+  ·  examples run on CPython 3.12.3</w:t>
      </w:r>
    </w:p>
    <w:p>
      <w:r>
        <w:rPr>
          <w:rFonts w:ascii="Calibri" w:hAnsi="Calibri" w:cs="Calibri"/>
          <w:b/>
          <w:color w:val="181C30"/>
          <w:sz w:val="28"/>
        </w:rPr>
        <w:t>Project: Unit converter CLI with tested pure functions</w:t>
      </w:r>
    </w:p>
    <w:p>
      <w:pPr>
        <w:pStyle w:val="Heading1"/>
      </w:pPr>
      <w:r>
        <w:rPr>
          <w:rFonts w:ascii="Calibri" w:hAnsi="Calibri" w:cs="Calibri"/>
          <w:b/>
          <w:color w:val="945E3A"/>
          <w:sz w:val="36"/>
        </w:rPr>
        <w:t>You will be able to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6800"/>
        <w:gridCol w:w="3280"/>
      </w:tblGrid>
      <w:tr>
        <w:tc>
          <w:tcPr>
            <w:tcW w:type="dxa" w:w="6800"/>
            <w:shd w:val="clear" w:color="auto" w:fill="945E3A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Outcome</w:t>
            </w:r>
          </w:p>
        </w:tc>
        <w:tc>
          <w:tcPr>
            <w:tcW w:type="dxa" w:w="3280"/>
            <w:shd w:val="clear" w:color="auto" w:fill="945E3A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My notes</w:t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Define functions with positional, keyword, default and variadic parameters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Explain the LEGB rule and predict which name a line of code sees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Avoid the mutable-default-argument trap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Write a docstring that follows PEP 257 and a signature with PEP 484 hints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</w:tbl>
    <w:p/>
    <w:p>
      <w:pPr>
        <w:pStyle w:val="Title"/>
      </w:pPr>
      <w:r>
        <w:rPr>
          <w:rFonts w:ascii="Calibri" w:hAnsi="Calibri" w:cs="Calibri"/>
          <w:b/>
          <w:color w:val="945E3A"/>
          <w:sz w:val="52"/>
        </w:rPr>
        <w:t>Functions and Scope</w:t>
      </w:r>
    </w:p>
    <w:p>
      <w:pPr>
        <w:pStyle w:val="Heading1"/>
      </w:pPr>
      <w:r>
        <w:rPr>
          <w:rFonts w:ascii="Calibri" w:hAnsi="Calibri" w:cs="Calibri"/>
          <w:b/>
          <w:color w:val="945E3A"/>
          <w:sz w:val="36"/>
        </w:rPr>
        <w:t>Why functions</w:t>
      </w:r>
    </w:p>
    <w:p>
      <w:r>
        <w:rPr>
          <w:rFonts w:ascii="Calibri" w:hAnsi="Calibri" w:cs="Calibri"/>
          <w:b w:val="0"/>
          <w:color w:val="181C30"/>
          <w:sz w:val="24"/>
        </w:rPr>
        <w:t>A function gives a block of code a name so you can reuse it and test it alone. Keep each function doing one thing and returning a value instead of printing it.</w:t>
      </w:r>
    </w:p>
    <w:p>
      <w:pPr>
        <w:pStyle w:val="Heading1"/>
      </w:pPr>
      <w:r>
        <w:rPr>
          <w:rFonts w:ascii="Calibri" w:hAnsi="Calibri" w:cs="Calibri"/>
          <w:b/>
          <w:color w:val="945E3A"/>
          <w:sz w:val="36"/>
        </w:rPr>
        <w:t>Defining and calling</w:t>
      </w:r>
    </w:p>
    <w:p>
      <w:r>
        <w:rPr>
          <w:rFonts w:ascii="Calibri" w:hAnsi="Calibri" w:cs="Calibri"/>
          <w:b/>
          <w:color w:val="945E3A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def area(width, height=1):</w:t>
              <w:br/>
              <w:t xml:space="preserve">    """Return the area of a rectangle."""</w:t>
              <w:br/>
              <w:t xml:space="preserve">    return width * height</w:t>
              <w:br/>
              <w:br/>
              <w:t>print(area(3, 4))</w:t>
              <w:br/>
              <w:t>print(area(5))</w:t>
              <w:br/>
              <w:t>print(area(height=2, width=6))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12</w:t>
              <w:br/>
              <w:t>5</w:t>
              <w:br/>
              <w:t>12</w:t>
            </w:r>
          </w:p>
        </w:tc>
      </w:tr>
    </w:tbl>
    <w:p>
      <w:pPr>
        <w:spacing w:after="120"/>
      </w:pPr>
    </w:p>
    <w:p>
      <w:pPr>
        <w:pStyle w:val="ListBullet"/>
      </w:pPr>
      <w:r>
        <w:rPr>
          <w:rFonts w:ascii="Calibri" w:hAnsi="Calibri" w:cs="Calibri"/>
          <w:b w:val="0"/>
          <w:color w:val="181C30"/>
          <w:sz w:val="24"/>
        </w:rPr>
        <w:t>width is a required parameter; height has a default value.</w:t>
      </w:r>
    </w:p>
    <w:p>
      <w:pPr>
        <w:pStyle w:val="ListBullet"/>
      </w:pPr>
      <w:r>
        <w:rPr>
          <w:rFonts w:ascii="Calibri" w:hAnsi="Calibri" w:cs="Calibri"/>
          <w:b w:val="0"/>
          <w:color w:val="181C30"/>
          <w:sz w:val="24"/>
        </w:rPr>
        <w:t>Keyword arguments let you pass values by name, in any order.</w:t>
      </w:r>
    </w:p>
    <w:p>
      <w:pPr>
        <w:pStyle w:val="Heading1"/>
      </w:pPr>
      <w:r>
        <w:rPr>
          <w:rFonts w:ascii="Calibri" w:hAnsi="Calibri" w:cs="Calibri"/>
          <w:b/>
          <w:color w:val="945E3A"/>
          <w:sz w:val="36"/>
        </w:rPr>
        <w:t>Variadic parameters</w:t>
      </w:r>
    </w:p>
    <w:p>
      <w:r>
        <w:rPr>
          <w:rFonts w:ascii="Calibri" w:hAnsi="Calibri" w:cs="Calibri"/>
          <w:b w:val="0"/>
          <w:color w:val="181C30"/>
          <w:sz w:val="24"/>
        </w:rPr>
        <w:t>args collects extra positional arguments into a tuple; kwargs collects extra keyword arguments into a dict.</w:t>
      </w:r>
    </w:p>
    <w:p>
      <w:r>
        <w:rPr>
          <w:rFonts w:ascii="Calibri" w:hAnsi="Calibri" w:cs="Calibri"/>
          <w:b/>
          <w:color w:val="945E3A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def describe(*args, **kwargs):</w:t>
              <w:br/>
              <w:t xml:space="preserve">    return len(args), sorted(kwargs)</w:t>
              <w:br/>
              <w:br/>
              <w:t>print(describe(1, 2, 3, unit="cm", colour="red"))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(3, ['colour', 'unit'])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945E3A"/>
          <w:sz w:val="36"/>
        </w:rPr>
        <w:t>The LEGB rule</w:t>
      </w:r>
    </w:p>
    <w:p>
      <w:r>
        <w:rPr>
          <w:rFonts w:ascii="Calibri" w:hAnsi="Calibri" w:cs="Calibri"/>
          <w:b w:val="0"/>
          <w:color w:val="181C30"/>
          <w:sz w:val="24"/>
        </w:rPr>
        <w:t>Python looks a name up in this order: Local, Enclosing function, Global, Built-in. Assigning to a name inside a function makes it local to that function unless you declare global or nonlocal.</w:t>
      </w:r>
    </w:p>
    <w:p>
      <w:r>
        <w:rPr>
          <w:rFonts w:ascii="Calibri" w:hAnsi="Calibri" w:cs="Calibri"/>
          <w:b/>
          <w:color w:val="945E3A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x = "global"</w:t>
              <w:br/>
              <w:br/>
              <w:t>def outer():</w:t>
              <w:br/>
              <w:t xml:space="preserve">    x = "enclosing"</w:t>
              <w:br/>
              <w:t xml:space="preserve">    def inner():</w:t>
              <w:br/>
              <w:t xml:space="preserve">        nonlocal x</w:t>
              <w:br/>
              <w:t xml:space="preserve">        x = "changed by inner"</w:t>
              <w:br/>
              <w:t xml:space="preserve">    inner()</w:t>
              <w:br/>
              <w:t xml:space="preserve">    return x</w:t>
              <w:br/>
              <w:br/>
              <w:t>print(outer())</w:t>
              <w:br/>
              <w:t>print(x)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changed by inner</w:t>
              <w:br/>
              <w:t>global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945E3A"/>
          <w:sz w:val="36"/>
        </w:rPr>
        <w:t>The mutable default trap</w:t>
      </w:r>
    </w:p>
    <w:p>
      <w:r>
        <w:rPr>
          <w:rFonts w:ascii="Calibri" w:hAnsi="Calibri" w:cs="Calibri"/>
          <w:b w:val="0"/>
          <w:color w:val="181C30"/>
          <w:sz w:val="24"/>
        </w:rPr>
        <w:t>Default values are evaluated once, when the def runs, not on each call.</w:t>
      </w:r>
    </w:p>
    <w:p>
      <w:r>
        <w:rPr>
          <w:rFonts w:ascii="Calibri" w:hAnsi="Calibri" w:cs="Calibri"/>
          <w:b/>
          <w:color w:val="945E3A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def add_item(item, bucket=[]):</w:t>
              <w:br/>
              <w:t xml:space="preserve">    bucket.append(item)</w:t>
              <w:br/>
              <w:t xml:space="preserve">    return bucket</w:t>
              <w:br/>
              <w:br/>
              <w:t>print(add_item("a"))</w:t>
              <w:br/>
              <w:t>print(add_item("b"))</w:t>
              <w:br/>
              <w:br/>
              <w:t>def add_item_safe(item, bucket=None):</w:t>
              <w:br/>
              <w:t xml:space="preserve">    if bucket is None:</w:t>
              <w:br/>
              <w:t xml:space="preserve">        bucket = []</w:t>
              <w:br/>
              <w:t xml:space="preserve">    bucket.append(item)</w:t>
              <w:br/>
              <w:t xml:space="preserve">    return bucket</w:t>
              <w:br/>
              <w:br/>
              <w:t>print(add_item_safe("a"))</w:t>
              <w:br/>
              <w:t>print(add_item_safe("b"))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['a']</w:t>
              <w:br/>
              <w:t>['a', 'b']</w:t>
              <w:br/>
              <w:t>['a']</w:t>
              <w:br/>
              <w:t>['b']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945E3A"/>
          <w:sz w:val="36"/>
        </w:rPr>
        <w:t>Docstrings and hints</w:t>
      </w:r>
    </w:p>
    <w:p>
      <w:r>
        <w:rPr>
          <w:rFonts w:ascii="Calibri" w:hAnsi="Calibri" w:cs="Calibri"/>
          <w:b w:val="0"/>
          <w:color w:val="181C30"/>
          <w:sz w:val="24"/>
        </w:rPr>
        <w:t>PEP 257 describes docstring conventions: a short summary line, then detail if needed. PEP 484 defines the type-hint syntax. Hints are not enforced at run time; a checker such as mypy or pyright reads them.</w:t>
      </w:r>
    </w:p>
    <w:p>
      <w:r>
        <w:rPr>
          <w:rFonts w:ascii="Calibri" w:hAnsi="Calibri" w:cs="Calibri"/>
          <w:b/>
          <w:color w:val="945E3A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def celsius_to_fahrenheit(c: float) -&gt; float:</w:t>
              <w:br/>
              <w:t xml:space="preserve">    """Convert degrees Celsius to degrees Fahrenheit."""</w:t>
              <w:br/>
              <w:t xml:space="preserve">    return c * 9 / 5 + 32</w:t>
              <w:br/>
              <w:br/>
              <w:t>print(celsius_to_fahrenheit(100))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212.0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945E3A"/>
          <w:sz w:val="36"/>
        </w:rPr>
        <w:t>Check yourself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What does area(height=2, width=6) return?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Why does add_item("b") print ['a', 'b']?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Which scope does a name assigned inside inner belong to without nonlocal?</w:t>
      </w:r>
    </w:p>
    <w:p>
      <w:pPr>
        <w:pStyle w:val="Heading1"/>
      </w:pPr>
      <w:r>
        <w:rPr>
          <w:rFonts w:ascii="Calibri" w:hAnsi="Calibri" w:cs="Calibri"/>
          <w:b/>
          <w:color w:val="945E3A"/>
          <w:sz w:val="36"/>
        </w:rPr>
        <w:t>Project: Unit converter CLI</w:t>
      </w:r>
    </w:p>
    <w:p>
      <w:r>
        <w:rPr>
          <w:rFonts w:ascii="Calibri" w:hAnsi="Calibri" w:cs="Calibri"/>
          <w:b w:val="0"/>
          <w:color w:val="181C30"/>
          <w:sz w:val="24"/>
        </w:rPr>
        <w:t>Build three pure functions (km to miles, kg to pounds, Celsius to Fahrenheit), add docstrings and hints, then write four pytest tests. Stretch: accept values with argparse.</w:t>
      </w:r>
    </w:p>
    <w:p>
      <w:pPr>
        <w:pStyle w:val="Heading1"/>
      </w:pPr>
      <w:r>
        <w:rPr>
          <w:rFonts w:ascii="Calibri" w:hAnsi="Calibri" w:cs="Calibri"/>
          <w:b/>
          <w:color w:val="945E3A"/>
          <w:sz w:val="36"/>
        </w:rPr>
        <w:t>Sources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3800"/>
        <w:gridCol w:w="6280"/>
      </w:tblGrid>
      <w:tr>
        <w:tc>
          <w:tcPr>
            <w:tcW w:type="dxa" w:w="3800"/>
            <w:shd w:val="clear" w:color="auto" w:fill="945E3A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Title</w:t>
            </w:r>
          </w:p>
        </w:tc>
        <w:tc>
          <w:tcPr>
            <w:tcW w:type="dxa" w:w="6280"/>
            <w:shd w:val="clear" w:color="auto" w:fill="945E3A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URL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tutorial: More on defining functions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https://docs.python.org/3/tutorial/controlflow.html#defining-functions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PEP 257 Docstring Conventions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https://peps.python.org/pep-0257/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PEP 484 Type Hints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https://peps.python.org/pep-0484/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PEP 8 Style Guide for Python Code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https://peps.python.org/pep-0008/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reference: Naming and binding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https://docs.python.org/3/reference/executionmodel.html#naming-and-binding</w:t>
            </w:r>
          </w:p>
        </w:tc>
      </w:tr>
    </w:tbl>
    <w:p>
      <w:r>
        <w:rPr>
          <w:rFonts w:ascii="Calibri" w:hAnsi="Calibri" w:cs="Calibri"/>
          <w:b w:val="0"/>
          <w:color w:val="464A62"/>
          <w:sz w:val="22"/>
        </w:rPr>
        <w:t>Code © CypherMonkeyLabs, MIT. Text CC BY-NC-SA 4.0. Educational material, not accredited coursework. No outcome is promised.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1C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 and Scope</dc:title>
  <dc:subject>Python Lab Level 3 worksheet</dc:subject>
  <dc:creator>CypherMonkeyLabs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