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SIP trunk checklist</w:t>
      </w:r>
    </w:p>
    <w:p>
      <w:r>
        <w:t xml:space="preserve">Independent learning sheet. Confirm vendor defaults.</w:t>
      </w:r>
    </w:p>
    <w:p>
      <w:r>
        <w:t xml:space="preserve">1. Transport the peer documents.</w:t>
      </w:r>
    </w:p>
    <w:p>
      <w:r>
        <w:t xml:space="preserve">2. Request-URI and DNS.</w:t>
      </w:r>
    </w:p>
    <w:p>
      <w:r>
        <w:t xml:space="preserve">3. Offer and answer.</w:t>
      </w:r>
    </w:p>
    <w:p>
      <w:r>
        <w:t xml:space="preserve">4. c= and RTP.</w:t>
      </w:r>
    </w:p>
    <w:p>
      <w:r>
        <w:t xml:space="preserve">5. Emergency test number. Not legal advice.</w:t>
      </w:r>
    </w:p>
    <w:p>
      <w:r>
        <w:t xml:space="preserve">Sources: see the HTML sheet. CypherMonkey Labs. © 2026 CypherMonkeyLabs.</w:t>
      </w:r>
    </w:p>
    <w:sectPr/>
  </w:body>
</w:document>
</file>