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Black" w:cs="Arial Black" w:eastAsia="Arial Black" w:hAnsi="Arial Black"/>
          <w:b/>
          <w:bCs/>
          <w:color w:val="1B3A6B"/>
          <w:sz w:val="44"/>
          <w:szCs w:val="44"/>
        </w:rPr>
        <w:t xml:space="preserve">PACT — Compliance Governance Platform</w:t>
      </w:r>
    </w:p>
    <w:p>
      <w:pPr>
        <w:spacing w:before="0" w:after="60"/>
      </w:pPr>
      <w:r>
        <w:rPr>
          <w:rFonts w:ascii="Arial" w:cs="Arial" w:eastAsia="Arial" w:hAnsi="Arial"/>
          <w:b/>
          <w:bCs/>
          <w:color w:val="C0392B"/>
          <w:sz w:val="28"/>
          <w:szCs w:val="28"/>
        </w:rPr>
        <w:t xml:space="preserve">SharePoint List Architecture Reference</w:t>
      </w:r>
    </w:p>
    <w:p>
      <w:pPr>
        <w:pBdr>
          <w:bottom w:val="single" w:color="C0392B" w:sz="6" w:space="1"/>
        </w:pBdr>
        <w:spacing w:before="0" w:after="60"/>
      </w:pPr>
      <w:r>
        <w:rPr>
          <w:rFonts w:ascii="Arial" w:cs="Arial" w:eastAsia="Arial" w:hAnsi="Arial"/>
          <w:i/>
          <w:iCs/>
          <w:color w:val="64748B"/>
          <w:sz w:val="18"/>
          <w:szCs w:val="18"/>
        </w:rPr>
        <w:t xml:space="preserve">KCC / Konstructum Group  ·  Internal Reference Document  ·  April 2026</w:t>
      </w:r>
    </w:p>
    <w:p>
      <w:pPr>
        <w:spacing w:before="180" w:after="120"/>
      </w:pPr>
      <w:r>
        <w:rPr>
          <w:rFonts w:ascii="Arial" w:cs="Arial" w:eastAsia="Arial" w:hAnsi="Arial"/>
          <w:b/>
          <w:bCs/>
          <w:color w:val="1B3A6B"/>
          <w:sz w:val="22"/>
          <w:szCs w:val="22"/>
        </w:rPr>
        <w:t xml:space="preserve">Document Purpose</w:t>
      </w:r>
    </w:p>
    <w:p>
      <w:pPr>
        <w:spacing w:before="0" w:after="240"/>
      </w:pPr>
      <w:r>
        <w:rPr>
          <w:rFonts w:ascii="Arial" w:cs="Arial" w:eastAsia="Arial" w:hAnsi="Arial"/>
          <w:color w:val="374151"/>
          <w:sz w:val="20"/>
          <w:szCs w:val="20"/>
        </w:rPr>
        <w:t xml:space="preserve">This document provides a complete reference for all seven SharePoint Lists that form the database backbone of the PACT Compliance Governance Platform. Each list entry includes column names, data types, required status, and notes on how the field is used within the system. This document is intended for system administrators, developers, and governance stakeholders.</w:t>
      </w:r>
    </w:p>
    <w:p>
      <w:pPr>
        <w:spacing w:before="80" w:after="140"/>
      </w:pPr>
      <w:r>
        <w:rPr>
          <w:rFonts w:ascii="Arial" w:cs="Arial" w:eastAsia="Arial" w:hAnsi="Arial"/>
          <w:b/>
          <w:bCs/>
          <w:color w:val="1B3A6B"/>
          <w:sz w:val="24"/>
          <w:szCs w:val="24"/>
        </w:rPr>
        <w:t xml:space="preserve">System Architecture Overview</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800"/>
        <w:gridCol w:w="3000"/>
      </w:tblGrid>
      <w:tr>
        <w:trPr>
          <w:tblHeader/>
        </w:trP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List Name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Role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Connects 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8"/>
                <w:szCs w:val="18"/>
              </w:rPr>
              <w:t xml:space="preserve">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PACT Compliance Cases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Central hub — all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All 6 supporting lists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C0392B"/>
                <w:sz w:val="18"/>
                <w:szCs w:val="18"/>
              </w:rPr>
              <w:t xml:space="preserve">02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PACT Staff Directory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Person lookup source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Compliance Cases, Repeat Tracker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8"/>
                <w:szCs w:val="18"/>
              </w:rPr>
              <w:t xml:space="preserve">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PACT Policy &amp; Offence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Policy engine &amp; offence catalogue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Compliance Cases, Disciplinary Actions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C0392B"/>
                <w:sz w:val="18"/>
                <w:szCs w:val="18"/>
              </w:rPr>
              <w:t xml:space="preserve">04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PACT Disciplinary Actions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Action log per case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Compliance Cases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8"/>
                <w:szCs w:val="18"/>
              </w:rPr>
              <w:t xml:space="preserve">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PACT Escalation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Tier change audit trail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Compliance Cases, Staff Directory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C0392B"/>
                <w:sz w:val="18"/>
                <w:szCs w:val="18"/>
              </w:rPr>
              <w:t xml:space="preserve">06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PACT Appeals Register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Formal appeals &amp; decisions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Compliance Cases, Staff Directory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8"/>
                <w:szCs w:val="18"/>
              </w:rPr>
              <w:t xml:space="preserve">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PACT Repeat Offence 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Behaviour pattern &amp; risk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Staff Directory, Compliance Cases</w:t>
            </w:r>
          </w:p>
        </w:tc>
      </w:tr>
    </w:tbl>
    <w:p>
      <w:pPr>
        <w:spacing w:before="340" w:after="0"/>
      </w:pPr>
      <w:r>
        <w:t xml:space="preserve"/>
      </w:r>
    </w:p>
    <w:p>
      <w:pPr>
        <w:spacing w:before="340" w:after="80"/>
      </w:pPr>
      <w:r>
        <w:rPr>
          <w:rFonts w:ascii="Arial Black" w:cs="Arial Black" w:eastAsia="Arial Black" w:hAnsi="Arial Black"/>
          <w:b/>
          <w:bCs/>
          <w:color w:val="C0392B"/>
          <w:sz w:val="26"/>
          <w:szCs w:val="26"/>
        </w:rPr>
        <w:t xml:space="preserve">01  </w:t>
      </w:r>
      <w:r>
        <w:rPr>
          <w:rFonts w:ascii="Arial Black" w:cs="Arial Black" w:eastAsia="Arial Black" w:hAnsi="Arial Black"/>
          <w:b/>
          <w:bCs/>
          <w:color w:val="1B3A6B"/>
          <w:sz w:val="26"/>
          <w:szCs w:val="26"/>
        </w:rPr>
        <w:t xml:space="preserve">PACT Compliance Cases</w:t>
      </w:r>
    </w:p>
    <w:p>
      <w:pPr>
        <w:pBdr>
          <w:bottom w:val="single" w:color="C0392B" w:sz="4" w:space="1"/>
        </w:pBdr>
        <w:spacing w:before="0" w:after="180"/>
      </w:pPr>
      <w:r>
        <w:rPr>
          <w:rFonts w:ascii="Arial" w:cs="Arial" w:eastAsia="Arial" w:hAnsi="Arial"/>
          <w:i/>
          <w:iCs/>
          <w:color w:val="64748B"/>
          <w:sz w:val="18"/>
          <w:szCs w:val="18"/>
        </w:rPr>
        <w:t xml:space="preserve">Core hub — stores every compliance incident, breach, and case record from creation to resolution.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7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Central Hub — all other lists reference this one</w:t>
            </w:r>
          </w:p>
        </w:tc>
      </w:tr>
    </w:tbl>
    <w:p>
      <w:pPr>
        <w:spacing w:before="14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Title (Penalty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Auto-generated case reference number e.g. PACT-001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Charged Person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Staff Dir.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Pulls name from PACT Staff Directory dropdown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Staff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Auto-fills from Staff Directory on person selection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Department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Auto-fills from Staff Directory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Offence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Policy Lib.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Pulls from PACT Policy &amp; Offence Library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Offence 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Multiple lines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Free-text description of the specific breach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Penalty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59669"/>
                <w:sz w:val="17"/>
                <w:szCs w:val="17"/>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Auto-fills from Policy Library; editable if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Due 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97706"/>
                <w:sz w:val="17"/>
                <w:szCs w:val="17"/>
              </w:rPr>
              <w:t xml:space="preserve">Date and Time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Deadline for penalty resolution or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Issuer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891B2"/>
                <w:sz w:val="17"/>
                <w:szCs w:val="17"/>
              </w:rPr>
              <w:t xml:space="preserve">Person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Compliance Officer or Dept. Head who raised the case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Secondary Contact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891B2"/>
                <w:sz w:val="17"/>
                <w:szCs w:val="17"/>
              </w:rPr>
              <w:t xml:space="preserve">Person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Supervisor notified — receives separate email 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Unpaid / Paid / Overdue / Waived — defaults to Unpaid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Date 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97706"/>
                <w:sz w:val="17"/>
                <w:szCs w:val="17"/>
              </w:rPr>
              <w:t xml:space="preserve">Date and Time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Auto-populated on record creation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Evidence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Hyperlink / Image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DC2626"/>
                <w:sz w:val="17"/>
                <w:szCs w:val="17"/>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Optional upload of supporting documentation</w:t>
            </w:r>
          </w:p>
        </w:tc>
      </w:tr>
    </w:tbl>
    <w:p>
      <w:pPr>
        <w:spacing w:before="200" w:after="0"/>
      </w:pPr>
      <w:r>
        <w:t xml:space="preserve"/>
      </w:r>
    </w:p>
    <w:p>
      <w:r>
        <w:br w:type="page"/>
      </w:r>
    </w:p>
    <w:p>
      <w:pPr>
        <w:spacing w:before="340" w:after="80"/>
      </w:pPr>
      <w:r>
        <w:rPr>
          <w:rFonts w:ascii="Arial Black" w:cs="Arial Black" w:eastAsia="Arial Black" w:hAnsi="Arial Black"/>
          <w:b/>
          <w:bCs/>
          <w:color w:val="C0392B"/>
          <w:sz w:val="26"/>
          <w:szCs w:val="26"/>
        </w:rPr>
        <w:t xml:space="preserve">02  </w:t>
      </w:r>
      <w:r>
        <w:rPr>
          <w:rFonts w:ascii="Arial Black" w:cs="Arial Black" w:eastAsia="Arial Black" w:hAnsi="Arial Black"/>
          <w:b/>
          <w:bCs/>
          <w:color w:val="1B3A6B"/>
          <w:sz w:val="26"/>
          <w:szCs w:val="26"/>
        </w:rPr>
        <w:t xml:space="preserve">PACT Staff Directory</w:t>
      </w:r>
    </w:p>
    <w:p>
      <w:pPr>
        <w:pBdr>
          <w:bottom w:val="single" w:color="C0392B" w:sz="4" w:space="1"/>
        </w:pBdr>
        <w:spacing w:before="0" w:after="180"/>
      </w:pPr>
      <w:r>
        <w:rPr>
          <w:rFonts w:ascii="Arial" w:cs="Arial" w:eastAsia="Arial" w:hAnsi="Arial"/>
          <w:i/>
          <w:iCs/>
          <w:color w:val="64748B"/>
          <w:sz w:val="18"/>
          <w:szCs w:val="18"/>
        </w:rPr>
        <w:t xml:space="preserve">Master register of all employees, consultants, and contractors subject to the compliance policy.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7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Lookup Source — feeds Charged Person dropdown in Compliance Cases</w:t>
            </w:r>
          </w:p>
        </w:tc>
      </w:tr>
    </w:tbl>
    <w:p>
      <w:pPr>
        <w:spacing w:before="14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Full Name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field used in all Lookup dropdowns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Email Address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Used by Power Automate to send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Auto-fills in the case form on person selection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Role / Position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Job title for reference and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Line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Direct supervisor — used for escalation routing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Company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KCC / KESL / Interkonstruct — for multi-entity filtering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Employee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Employee / Consultant / Contractor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Active / Inactive — prevents ex-staff appearing in dropdowns</w:t>
            </w:r>
          </w:p>
        </w:tc>
      </w:tr>
    </w:tbl>
    <w:p>
      <w:pPr>
        <w:spacing w:before="200" w:after="0"/>
      </w:pPr>
      <w:r>
        <w:t xml:space="preserve"/>
      </w:r>
    </w:p>
    <w:p>
      <w:r>
        <w:br w:type="page"/>
      </w:r>
    </w:p>
    <w:p>
      <w:pPr>
        <w:spacing w:before="340" w:after="80"/>
      </w:pPr>
      <w:r>
        <w:rPr>
          <w:rFonts w:ascii="Arial Black" w:cs="Arial Black" w:eastAsia="Arial Black" w:hAnsi="Arial Black"/>
          <w:b/>
          <w:bCs/>
          <w:color w:val="C0392B"/>
          <w:sz w:val="26"/>
          <w:szCs w:val="26"/>
        </w:rPr>
        <w:t xml:space="preserve">03  </w:t>
      </w:r>
      <w:r>
        <w:rPr>
          <w:rFonts w:ascii="Arial Black" w:cs="Arial Black" w:eastAsia="Arial Black" w:hAnsi="Arial Black"/>
          <w:b/>
          <w:bCs/>
          <w:color w:val="1B3A6B"/>
          <w:sz w:val="26"/>
          <w:szCs w:val="26"/>
        </w:rPr>
        <w:t xml:space="preserve">PACT Policy &amp; Offence Library</w:t>
      </w:r>
    </w:p>
    <w:p>
      <w:pPr>
        <w:pBdr>
          <w:bottom w:val="single" w:color="C0392B" w:sz="4" w:space="1"/>
        </w:pBdr>
        <w:spacing w:before="0" w:after="180"/>
      </w:pPr>
      <w:r>
        <w:rPr>
          <w:rFonts w:ascii="Arial" w:cs="Arial" w:eastAsia="Arial" w:hAnsi="Arial"/>
          <w:i/>
          <w:iCs/>
          <w:color w:val="64748B"/>
          <w:sz w:val="18"/>
          <w:szCs w:val="18"/>
        </w:rPr>
        <w:t xml:space="preserve">Central register of all defined policy offences, their tier classification, and the progressive disciplinary actions to be applied.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7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Policy Engine Source — feeds offence dropdowns and disciplinary action logic</w:t>
            </w:r>
          </w:p>
        </w:tc>
      </w:tr>
    </w:tbl>
    <w:p>
      <w:pPr>
        <w:spacing w:before="14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Offence Name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Primary display name used in the Compliance Cases dropdown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Tier 1 / Tier 2 / Tier 3 — determines enforcement 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Conduct / Project Integrity / Strategic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Offence 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Multiple lines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 policy definition of the breach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Default Penalty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59669"/>
                <w:sz w:val="17"/>
                <w:szCs w:val="17"/>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Auto-fills in Compliance Cases when offence is selected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First Offence 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e.g. Verbal Warning, Written Warning, Fine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Second Offence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e.g. Written Warning, Fine, Suspension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Third Offence 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e.g. Fine, Suspension, Termination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Escalation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Yes/No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 = 3 offences within 6 months triggers Tier upgrade</w:t>
            </w:r>
          </w:p>
        </w:tc>
      </w:tr>
    </w:tbl>
    <w:p>
      <w:pPr>
        <w:spacing w:before="200" w:after="0"/>
      </w:pPr>
      <w:r>
        <w:t xml:space="preserve"/>
      </w:r>
    </w:p>
    <w:p>
      <w:r>
        <w:br w:type="page"/>
      </w:r>
    </w:p>
    <w:p>
      <w:pPr>
        <w:spacing w:before="340" w:after="80"/>
      </w:pPr>
      <w:r>
        <w:rPr>
          <w:rFonts w:ascii="Arial Black" w:cs="Arial Black" w:eastAsia="Arial Black" w:hAnsi="Arial Black"/>
          <w:b/>
          <w:bCs/>
          <w:color w:val="C0392B"/>
          <w:sz w:val="26"/>
          <w:szCs w:val="26"/>
        </w:rPr>
        <w:t xml:space="preserve">04  </w:t>
      </w:r>
      <w:r>
        <w:rPr>
          <w:rFonts w:ascii="Arial Black" w:cs="Arial Black" w:eastAsia="Arial Black" w:hAnsi="Arial Black"/>
          <w:b/>
          <w:bCs/>
          <w:color w:val="1B3A6B"/>
          <w:sz w:val="26"/>
          <w:szCs w:val="26"/>
        </w:rPr>
        <w:t xml:space="preserve">PACT Disciplinary Actions</w:t>
      </w:r>
    </w:p>
    <w:p>
      <w:pPr>
        <w:pBdr>
          <w:bottom w:val="single" w:color="C0392B" w:sz="4" w:space="1"/>
        </w:pBdr>
        <w:spacing w:before="0" w:after="180"/>
      </w:pPr>
      <w:r>
        <w:rPr>
          <w:rFonts w:ascii="Arial" w:cs="Arial" w:eastAsia="Arial" w:hAnsi="Arial"/>
          <w:i/>
          <w:iCs/>
          <w:color w:val="64748B"/>
          <w:sz w:val="18"/>
          <w:szCs w:val="18"/>
        </w:rPr>
        <w:t xml:space="preserve">Records every disciplinary action taken against a compliance case — warning, fine, suspension, or termination.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7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Action Log — auto-created by Power Automate on new case creation</w:t>
            </w:r>
          </w:p>
        </w:tc>
      </w:tr>
    </w:tbl>
    <w:p>
      <w:pPr>
        <w:spacing w:before="14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Auto-set to 'Disciplinary Action' by 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Case Reference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Cases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Links back to the parent Compliance Case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Action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Warning / Fine / Suspension / Termination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Action 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97706"/>
                <w:sz w:val="17"/>
                <w:szCs w:val="17"/>
              </w:rPr>
              <w:t xml:space="preserve">Date and Time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Auto-set to today by Power Automate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Penalty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59669"/>
                <w:sz w:val="17"/>
                <w:szCs w:val="17"/>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Auto-pulled from Policy Library via 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Suspension Duration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C2626"/>
                <w:sz w:val="17"/>
                <w:szCs w:val="17"/>
              </w:rPr>
              <w:t xml:space="preserve">No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e.g. '3 days' — only populated for suspension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Actioned 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891B2"/>
                <w:sz w:val="17"/>
                <w:szCs w:val="17"/>
              </w:rPr>
              <w:t xml:space="preserve">Person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Issuing officer — auto-pulled from case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Notes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Multiple lines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C2626"/>
                <w:sz w:val="17"/>
                <w:szCs w:val="17"/>
              </w:rPr>
              <w:t xml:space="preserve">No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Any additional context or rationale for the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Pending / Enforced / Appealed / Waived</w:t>
            </w:r>
          </w:p>
        </w:tc>
      </w:tr>
    </w:tbl>
    <w:p>
      <w:pPr>
        <w:spacing w:before="200" w:after="0"/>
      </w:pPr>
      <w:r>
        <w:t xml:space="preserve"/>
      </w:r>
    </w:p>
    <w:p>
      <w:r>
        <w:br w:type="page"/>
      </w:r>
    </w:p>
    <w:p>
      <w:pPr>
        <w:spacing w:before="340" w:after="80"/>
      </w:pPr>
      <w:r>
        <w:rPr>
          <w:rFonts w:ascii="Arial Black" w:cs="Arial Black" w:eastAsia="Arial Black" w:hAnsi="Arial Black"/>
          <w:b/>
          <w:bCs/>
          <w:color w:val="C0392B"/>
          <w:sz w:val="26"/>
          <w:szCs w:val="26"/>
        </w:rPr>
        <w:t xml:space="preserve">05  </w:t>
      </w:r>
      <w:r>
        <w:rPr>
          <w:rFonts w:ascii="Arial Black" w:cs="Arial Black" w:eastAsia="Arial Black" w:hAnsi="Arial Black"/>
          <w:b/>
          <w:bCs/>
          <w:color w:val="1B3A6B"/>
          <w:sz w:val="26"/>
          <w:szCs w:val="26"/>
        </w:rPr>
        <w:t xml:space="preserve">PACT Escalation Log</w:t>
      </w:r>
    </w:p>
    <w:p>
      <w:pPr>
        <w:pBdr>
          <w:bottom w:val="single" w:color="C0392B" w:sz="4" w:space="1"/>
        </w:pBdr>
        <w:spacing w:before="0" w:after="180"/>
      </w:pPr>
      <w:r>
        <w:rPr>
          <w:rFonts w:ascii="Arial" w:cs="Arial" w:eastAsia="Arial" w:hAnsi="Arial"/>
          <w:i/>
          <w:iCs/>
          <w:color w:val="64748B"/>
          <w:sz w:val="18"/>
          <w:szCs w:val="18"/>
        </w:rPr>
        <w:t xml:space="preserve">Captures every escalation event — whether system-triggered (automatic) or manually initiated — for audit and governance purposes.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7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Audit Trail — records all tier changes and escalation notifications</w:t>
            </w:r>
          </w:p>
        </w:tc>
      </w:tr>
    </w:tbl>
    <w:p>
      <w:pPr>
        <w:spacing w:before="14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Auto-generated escalation reference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Case Reference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Cases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Links to the triggering Compliance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Offender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Staff Dir.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Auto-populated from the case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Escalation Reason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74151"/>
                <w:sz w:val="17"/>
                <w:szCs w:val="17"/>
              </w:rPr>
              <w:t xml:space="preserve">Multiple lines 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e.g. '3 Tier 1 offences within 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Previous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Tier 1 / Tier 2 / Tier 3 — the tier before escalation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New 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Tier 1 / Tier 2 / Tier 3 — the upgraded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Triggered 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System (automatic) / Manual (officer-initiated)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Escalation 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97706"/>
                <w:sz w:val="17"/>
                <w:szCs w:val="17"/>
              </w:rPr>
              <w:t xml:space="preserve">Date and Time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Auto-stamped at time of escalation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Notified 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891B2"/>
                <w:sz w:val="17"/>
                <w:szCs w:val="17"/>
              </w:rPr>
              <w:t xml:space="preserve">Person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Management or HR contact notified of the escalation</w:t>
            </w:r>
          </w:p>
        </w:tc>
      </w:tr>
    </w:tbl>
    <w:p>
      <w:pPr>
        <w:spacing w:before="200" w:after="0"/>
      </w:pPr>
      <w:r>
        <w:t xml:space="preserve"/>
      </w:r>
    </w:p>
    <w:p>
      <w:r>
        <w:br w:type="page"/>
      </w:r>
    </w:p>
    <w:p>
      <w:pPr>
        <w:spacing w:before="340" w:after="80"/>
      </w:pPr>
      <w:r>
        <w:rPr>
          <w:rFonts w:ascii="Arial Black" w:cs="Arial Black" w:eastAsia="Arial Black" w:hAnsi="Arial Black"/>
          <w:b/>
          <w:bCs/>
          <w:color w:val="C0392B"/>
          <w:sz w:val="26"/>
          <w:szCs w:val="26"/>
        </w:rPr>
        <w:t xml:space="preserve">06  </w:t>
      </w:r>
      <w:r>
        <w:rPr>
          <w:rFonts w:ascii="Arial Black" w:cs="Arial Black" w:eastAsia="Arial Black" w:hAnsi="Arial Black"/>
          <w:b/>
          <w:bCs/>
          <w:color w:val="1B3A6B"/>
          <w:sz w:val="26"/>
          <w:szCs w:val="26"/>
        </w:rPr>
        <w:t xml:space="preserve">PACT Appeals Register</w:t>
      </w:r>
    </w:p>
    <w:p>
      <w:pPr>
        <w:pBdr>
          <w:bottom w:val="single" w:color="C0392B" w:sz="4" w:space="1"/>
        </w:pBdr>
        <w:spacing w:before="0" w:after="180"/>
      </w:pPr>
      <w:r>
        <w:rPr>
          <w:rFonts w:ascii="Arial" w:cs="Arial" w:eastAsia="Arial" w:hAnsi="Arial"/>
          <w:i/>
          <w:iCs/>
          <w:color w:val="64748B"/>
          <w:sz w:val="18"/>
          <w:szCs w:val="18"/>
        </w:rPr>
        <w:t xml:space="preserve">Formal log of all appeal submissions, review decisions, and outcomes — ensuring a transparent and auditable appeals process.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7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Appeals Module — Phase 2 delivery; supports 3–5 day formal appeal window</w:t>
            </w:r>
          </w:p>
        </w:tc>
      </w:tr>
    </w:tbl>
    <w:p>
      <w:pPr>
        <w:spacing w:before="14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Auto-generated appeal reference 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Case Reference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Cases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Links to the disputed Compliance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Appellant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Staff Dir.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Person submitting the appeal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Appeal 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97706"/>
                <w:sz w:val="17"/>
                <w:szCs w:val="17"/>
              </w:rPr>
              <w:t xml:space="preserve">Date and Time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Date appeal was formally submitted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Grounds for Appeal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Multiple lines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 written justification from the appellant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Reviewing Officer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891B2"/>
                <w:sz w:val="17"/>
                <w:szCs w:val="17"/>
              </w:rPr>
              <w:t xml:space="preserve">Person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HR, Legal or Executive Management reviewer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Upheld / Reduced / Waived / Rejected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Decision 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97706"/>
                <w:sz w:val="17"/>
                <w:szCs w:val="17"/>
              </w:rPr>
              <w:t xml:space="preserve">Date and Time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C2626"/>
                <w:sz w:val="17"/>
                <w:szCs w:val="17"/>
              </w:rPr>
              <w:t xml:space="preserve">No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Date decision was formally recorded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Decision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Multiple lines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DC2626"/>
                <w:sz w:val="17"/>
                <w:szCs w:val="17"/>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Full rationale behind the appeal decision</w:t>
            </w:r>
          </w:p>
        </w:tc>
      </w:tr>
    </w:tbl>
    <w:p>
      <w:pPr>
        <w:spacing w:before="200" w:after="0"/>
      </w:pPr>
      <w:r>
        <w:t xml:space="preserve"/>
      </w:r>
    </w:p>
    <w:p>
      <w:r>
        <w:br w:type="page"/>
      </w:r>
    </w:p>
    <w:p>
      <w:pPr>
        <w:spacing w:before="340" w:after="80"/>
      </w:pPr>
      <w:r>
        <w:rPr>
          <w:rFonts w:ascii="Arial Black" w:cs="Arial Black" w:eastAsia="Arial Black" w:hAnsi="Arial Black"/>
          <w:b/>
          <w:bCs/>
          <w:color w:val="C0392B"/>
          <w:sz w:val="26"/>
          <w:szCs w:val="26"/>
        </w:rPr>
        <w:t xml:space="preserve">07  </w:t>
      </w:r>
      <w:r>
        <w:rPr>
          <w:rFonts w:ascii="Arial Black" w:cs="Arial Black" w:eastAsia="Arial Black" w:hAnsi="Arial Black"/>
          <w:b/>
          <w:bCs/>
          <w:color w:val="1B3A6B"/>
          <w:sz w:val="26"/>
          <w:szCs w:val="26"/>
        </w:rPr>
        <w:t xml:space="preserve">PACT Repeat Offence Tracker</w:t>
      </w:r>
    </w:p>
    <w:p>
      <w:pPr>
        <w:pBdr>
          <w:bottom w:val="single" w:color="C0392B" w:sz="4" w:space="1"/>
        </w:pBdr>
        <w:spacing w:before="0" w:after="180"/>
      </w:pPr>
      <w:r>
        <w:rPr>
          <w:rFonts w:ascii="Arial" w:cs="Arial" w:eastAsia="Arial" w:hAnsi="Arial"/>
          <w:i/>
          <w:iCs/>
          <w:color w:val="64748B"/>
          <w:sz w:val="18"/>
          <w:szCs w:val="18"/>
        </w:rPr>
        <w:t xml:space="preserve">Monitors cumulative offence patterns per individual — powering the automatic escalation logic and risk flagging engine.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7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Risk Intelligence — drives the 6-month rolling escalation trigger logic</w:t>
            </w:r>
          </w:p>
        </w:tc>
      </w:tr>
    </w:tbl>
    <w:p>
      <w:pPr>
        <w:spacing w:before="14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Single line of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Offender name — one row per staff member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Offender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D4ED8"/>
                <w:sz w:val="17"/>
                <w:szCs w:val="17"/>
              </w:rPr>
              <w:t xml:space="preserve">Lookup → Staff Dir.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Links to PACT Staff Directory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Total Offences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59669"/>
                <w:sz w:val="17"/>
                <w:szCs w:val="17"/>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Cumulative count of all offences on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Tier 1 Offences (Last 6 Months)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59669"/>
                <w:sz w:val="17"/>
                <w:szCs w:val="17"/>
              </w:rPr>
              <w:t xml:space="preserve">Number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Rolling 6-month count — triggers escalation at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Tier 2 Offences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59669"/>
                <w:sz w:val="17"/>
                <w:szCs w:val="17"/>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Total Tier 2 offences on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Tier 3 Offences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59669"/>
                <w:sz w:val="17"/>
                <w:szCs w:val="17"/>
              </w:rPr>
              <w:t xml:space="preserve">Number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Total Tier 3 offences — highest 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Risk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C3AED"/>
                <w:sz w:val="17"/>
                <w:szCs w:val="17"/>
              </w:rPr>
              <w:t xml:space="preserve">Choice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Low / Medium / High / Critical — auto-calculated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3A6B"/>
                <w:sz w:val="18"/>
                <w:szCs w:val="18"/>
              </w:rPr>
              <w:t xml:space="preserve">Last Offence 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D97706"/>
                <w:sz w:val="17"/>
                <w:szCs w:val="17"/>
              </w:rPr>
              <w:t xml:space="preserve">Date and Time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Date of most recent breach — used in 6-month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8"/>
                <w:szCs w:val="18"/>
              </w:rPr>
              <w:t xml:space="preserve">Escalation Due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4151"/>
                <w:sz w:val="17"/>
                <w:szCs w:val="17"/>
              </w:rPr>
              <w:t xml:space="preserve">Yes/No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6A34A"/>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8"/>
                <w:szCs w:val="18"/>
              </w:rPr>
              <w:t xml:space="preserve">Yes = automatic Tier escalation should be triggered</w:t>
            </w:r>
          </w:p>
        </w:tc>
      </w:tr>
    </w:tbl>
    <w:p>
      <w:pPr>
        <w:spacing w:before="200" w:after="0"/>
      </w:pPr>
      <w:r>
        <w:t xml:space="preserve"/>
      </w:r>
    </w:p>
    <w:p>
      <w:r>
        <w:br w:type="page"/>
      </w:r>
    </w:p>
    <w:p>
      <w:pPr>
        <w:spacing w:before="0" w:after="120"/>
      </w:pPr>
      <w:r>
        <w:rPr>
          <w:rFonts w:ascii="Arial Black" w:cs="Arial Black" w:eastAsia="Arial Black" w:hAnsi="Arial Black"/>
          <w:b/>
          <w:bCs/>
          <w:color w:val="1B3A6B"/>
          <w:sz w:val="26"/>
          <w:szCs w:val="26"/>
        </w:rPr>
        <w:t xml:space="preserve">Implementation Notes</w:t>
      </w:r>
    </w:p>
    <w:p>
      <w:pPr>
        <w:pBdr>
          <w:bottom w:val="single" w:color="C0392B" w:sz="4" w:space="1"/>
        </w:pBdr>
        <w:spacing w:before="0" w:after="240"/>
      </w:pPr>
      <w:r>
        <w:rPr>
          <w:rFonts w:ascii="Arial" w:cs="Arial" w:eastAsia="Arial" w:hAnsi="Arial"/>
          <w:i/>
          <w:iCs/>
          <w:color w:val="64748B"/>
          <w:sz w:val="18"/>
          <w:szCs w:val="18"/>
        </w:rPr>
        <w:t xml:space="preserve">Key guidance for administrators configuring these lists in SharePoint</w:t>
      </w:r>
    </w:p>
    <w:p>
      <w:pPr>
        <w:spacing w:before="160" w:after="40"/>
      </w:pPr>
      <w:r>
        <w:rPr>
          <w:rFonts w:ascii="Arial" w:cs="Arial" w:eastAsia="Arial" w:hAnsi="Arial"/>
          <w:b/>
          <w:bCs/>
          <w:color w:val="C0392B"/>
          <w:sz w:val="20"/>
          <w:szCs w:val="20"/>
        </w:rPr>
        <w:t xml:space="preserve">Build Order</w:t>
      </w:r>
    </w:p>
    <w:p>
      <w:pPr>
        <w:spacing w:before="0" w:after="120"/>
      </w:pPr>
      <w:r>
        <w:rPr>
          <w:rFonts w:ascii="Arial" w:cs="Arial" w:eastAsia="Arial" w:hAnsi="Arial"/>
          <w:color w:val="374151"/>
          <w:sz w:val="19"/>
          <w:szCs w:val="19"/>
        </w:rPr>
        <w:t xml:space="preserve">Lists should be created in sequence: Staff Directory and Policy Library first, then Compliance Cases (which depends on both), then the four supporting lists.</w:t>
      </w:r>
    </w:p>
    <w:p>
      <w:pPr>
        <w:spacing w:before="160" w:after="40"/>
      </w:pPr>
      <w:r>
        <w:rPr>
          <w:rFonts w:ascii="Arial" w:cs="Arial" w:eastAsia="Arial" w:hAnsi="Arial"/>
          <w:b/>
          <w:bCs/>
          <w:color w:val="C0392B"/>
          <w:sz w:val="20"/>
          <w:szCs w:val="20"/>
        </w:rPr>
        <w:t xml:space="preserve">Lookup Columns</w:t>
      </w:r>
    </w:p>
    <w:p>
      <w:pPr>
        <w:spacing w:before="0" w:after="120"/>
      </w:pPr>
      <w:r>
        <w:rPr>
          <w:rFonts w:ascii="Arial" w:cs="Arial" w:eastAsia="Arial" w:hAnsi="Arial"/>
          <w:color w:val="374151"/>
          <w:sz w:val="19"/>
          <w:szCs w:val="19"/>
        </w:rPr>
        <w:t xml:space="preserve">All Lookup columns must be created after the target list exists. If you delete and recreate a Lookup column, any Power Automate flows referencing it must also be updated.</w:t>
      </w:r>
    </w:p>
    <w:p>
      <w:pPr>
        <w:spacing w:before="160" w:after="40"/>
      </w:pPr>
      <w:r>
        <w:rPr>
          <w:rFonts w:ascii="Arial" w:cs="Arial" w:eastAsia="Arial" w:hAnsi="Arial"/>
          <w:b/>
          <w:bCs/>
          <w:color w:val="C0392B"/>
          <w:sz w:val="20"/>
          <w:szCs w:val="20"/>
        </w:rPr>
        <w:t xml:space="preserve">Internal Column Names</w:t>
      </w:r>
    </w:p>
    <w:p>
      <w:pPr>
        <w:spacing w:before="0" w:after="120"/>
      </w:pPr>
      <w:r>
        <w:rPr>
          <w:rFonts w:ascii="Arial" w:cs="Arial" w:eastAsia="Arial" w:hAnsi="Arial"/>
          <w:color w:val="374151"/>
          <w:sz w:val="19"/>
          <w:szCs w:val="19"/>
        </w:rPr>
        <w:t xml:space="preserve">SharePoint stores an internal name when a column is created. Renaming a column later only changes the display name — the internal name stays the same. Always note the internal name when building flows (visible in Settings → Column → URL bar).</w:t>
      </w:r>
    </w:p>
    <w:p>
      <w:pPr>
        <w:spacing w:before="160" w:after="40"/>
      </w:pPr>
      <w:r>
        <w:rPr>
          <w:rFonts w:ascii="Arial" w:cs="Arial" w:eastAsia="Arial" w:hAnsi="Arial"/>
          <w:b/>
          <w:bCs/>
          <w:color w:val="C0392B"/>
          <w:sz w:val="20"/>
          <w:szCs w:val="20"/>
        </w:rPr>
        <w:t xml:space="preserve">ChargedPersaon Typo</w:t>
      </w:r>
    </w:p>
    <w:p>
      <w:pPr>
        <w:spacing w:before="0" w:after="120"/>
      </w:pPr>
      <w:r>
        <w:rPr>
          <w:rFonts w:ascii="Arial" w:cs="Arial" w:eastAsia="Arial" w:hAnsi="Arial"/>
          <w:color w:val="374151"/>
          <w:sz w:val="19"/>
          <w:szCs w:val="19"/>
        </w:rPr>
        <w:t xml:space="preserve">The Charged Person column was originally created with a typo in the internal name ('ChargedPersaon'). This internal name must be used exactly as-is in all Power Automate expressions even though the display name has since been corrected.</w:t>
      </w:r>
    </w:p>
    <w:p>
      <w:pPr>
        <w:spacing w:before="160" w:after="40"/>
      </w:pPr>
      <w:r>
        <w:rPr>
          <w:rFonts w:ascii="Arial" w:cs="Arial" w:eastAsia="Arial" w:hAnsi="Arial"/>
          <w:b/>
          <w:bCs/>
          <w:color w:val="C0392B"/>
          <w:sz w:val="20"/>
          <w:szCs w:val="20"/>
        </w:rPr>
        <w:t xml:space="preserve">Power Automate Connection</w:t>
      </w:r>
    </w:p>
    <w:p>
      <w:pPr>
        <w:spacing w:before="0" w:after="120"/>
      </w:pPr>
      <w:r>
        <w:rPr>
          <w:rFonts w:ascii="Arial" w:cs="Arial" w:eastAsia="Arial" w:hAnsi="Arial"/>
          <w:color w:val="374151"/>
          <w:sz w:val="19"/>
          <w:szCs w:val="19"/>
        </w:rPr>
        <w:t xml:space="preserve">All flows connect to the KONSTRUCTUM SharePoint site at netorgft13110820.sharepoint.com/sites/KONSTRUCTUM. When rebuilding flows, always verify the site address and list name match exactly.</w:t>
      </w:r>
    </w:p>
    <w:p>
      <w:pPr>
        <w:spacing w:before="160" w:after="40"/>
      </w:pPr>
      <w:r>
        <w:rPr>
          <w:rFonts w:ascii="Arial" w:cs="Arial" w:eastAsia="Arial" w:hAnsi="Arial"/>
          <w:b/>
          <w:bCs/>
          <w:color w:val="C0392B"/>
          <w:sz w:val="20"/>
          <w:szCs w:val="20"/>
        </w:rPr>
        <w:t xml:space="preserve">Column Types Matter</w:t>
      </w:r>
    </w:p>
    <w:p>
      <w:pPr>
        <w:spacing w:before="0" w:after="120"/>
      </w:pPr>
      <w:r>
        <w:rPr>
          <w:rFonts w:ascii="Arial" w:cs="Arial" w:eastAsia="Arial" w:hAnsi="Arial"/>
          <w:color w:val="374151"/>
          <w:sz w:val="19"/>
          <w:szCs w:val="19"/>
        </w:rPr>
        <w:t xml:space="preserve">Never change a Lookup column to a different type or vice versa without also updating the corresponding Power Automate flows. Changing column types can break existing flow connections.</w:t>
      </w:r>
    </w:p>
    <w:p>
      <w:pPr>
        <w:spacing w:before="160" w:after="40"/>
      </w:pPr>
      <w:r>
        <w:rPr>
          <w:rFonts w:ascii="Arial" w:cs="Arial" w:eastAsia="Arial" w:hAnsi="Arial"/>
          <w:b/>
          <w:bCs/>
          <w:color w:val="C0392B"/>
          <w:sz w:val="20"/>
          <w:szCs w:val="20"/>
        </w:rPr>
        <w:t xml:space="preserve">Required Fields</w:t>
      </w:r>
    </w:p>
    <w:p>
      <w:pPr>
        <w:spacing w:before="0" w:after="120"/>
      </w:pPr>
      <w:r>
        <w:rPr>
          <w:rFonts w:ascii="Arial" w:cs="Arial" w:eastAsia="Arial" w:hAnsi="Arial"/>
          <w:color w:val="374151"/>
          <w:sz w:val="19"/>
          <w:szCs w:val="19"/>
        </w:rPr>
        <w:t xml:space="preserve">Fields marked Required in this document should be enforced at the SharePoint List level under Column Settings → Require that this column contains information.</w:t>
      </w:r>
    </w:p>
    <w:p>
      <w:pPr>
        <w:spacing w:before="160" w:after="40"/>
      </w:pPr>
      <w:r>
        <w:rPr>
          <w:rFonts w:ascii="Arial" w:cs="Arial" w:eastAsia="Arial" w:hAnsi="Arial"/>
          <w:b/>
          <w:bCs/>
          <w:color w:val="C0392B"/>
          <w:sz w:val="20"/>
          <w:szCs w:val="20"/>
        </w:rPr>
        <w:t xml:space="preserve">Shared Mailbox</w:t>
      </w:r>
    </w:p>
    <w:p>
      <w:pPr>
        <w:spacing w:before="0" w:after="120"/>
      </w:pPr>
      <w:r>
        <w:rPr>
          <w:rFonts w:ascii="Arial" w:cs="Arial" w:eastAsia="Arial" w:hAnsi="Arial"/>
          <w:color w:val="374151"/>
          <w:sz w:val="19"/>
          <w:szCs w:val="19"/>
        </w:rPr>
        <w:t xml:space="preserve">All system emails currently send from the account that owns the flow. A shared mailbox (e.g. pact@konstructum.com) should be set up by IT to ensure emails come from an official PACT system address.</w:t>
      </w:r>
    </w:p>
    <w:p>
      <w:pPr>
        <w:pBdr>
          <w:top w:val="single" w:color="E0E0E0" w:sz="4" w:space="1"/>
        </w:pBdr>
        <w:spacing w:before="300" w:after="0"/>
      </w:pPr>
      <w:r>
        <w:rPr>
          <w:rFonts w:ascii="Arial" w:cs="Arial" w:eastAsia="Arial" w:hAnsi="Arial"/>
          <w:i/>
          <w:iCs/>
          <w:color w:val="9CA3AF"/>
          <w:sz w:val="16"/>
          <w:szCs w:val="16"/>
        </w:rPr>
        <w:t xml:space="preserve">Prepared by: Muyis Rafiu Bello  ·  KCC Business Support &amp; Product Development  ·  April 2026  ·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jc w:val="center"/>
    </w:pPr>
    <w:r>
      <w:rPr>
        <w:rFonts w:ascii="Arial" w:cs="Arial" w:eastAsia="Arial" w:hAnsi="Arial"/>
        <w:color w:val="9CA3AF"/>
        <w:sz w:val="16"/>
        <w:szCs w:val="16"/>
      </w:rPr>
      <w:t xml:space="preserve">Internal Reference  ·  Page </w:t>
    </w:r>
    <w:r>
      <w:rPr>
        <w:rFonts w:ascii="Arial" w:cs="Arial" w:eastAsia="Arial" w:hAnsi="Arial"/>
        <w:color w:val="9CA3AF"/>
        <w:sz w:val="16"/>
        <w:szCs w:val="16"/>
      </w:rPr>
      <w:t xml:space="preserve">—</w:t>
    </w:r>
    <w:r>
      <w:rPr>
        <w:rFonts w:ascii="Arial" w:cs="Arial" w:eastAsia="Arial" w:hAnsi="Arial"/>
        <w:color w:val="9CA3AF"/>
        <w:sz w:val="16"/>
        <w:szCs w:val="16"/>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none" w:color="FFFFFF" w:sz="0"/>
            <w:right w:val="none" w:color="FFFFFF" w:sz="0"/>
          </w:tcBorders>
        </w:tcPr>
        <w:p>
          <w:r>
            <w:rPr>
              <w:rFonts w:ascii="Arial" w:cs="Arial" w:eastAsia="Arial" w:hAnsi="Arial"/>
              <w:color w:val="64748B"/>
              <w:sz w:val="16"/>
              <w:szCs w:val="16"/>
            </w:rPr>
            <w:t xml:space="preserve">PACT Compliance Governance Platform — SharePoint List Reference</w:t>
          </w:r>
        </w:p>
      </w:tc>
      <w:tc>
        <w:tcPr>
          <w:tcBorders>
            <w:top w:val="none" w:color="FFFFFF" w:sz="0"/>
            <w:left w:val="none" w:color="FFFFFF" w:sz="0"/>
            <w:bottom w:val="none" w:color="FFFFFF" w:sz="0"/>
            <w:right w:val="none" w:color="FFFFFF" w:sz="0"/>
          </w:tcBorders>
        </w:tcPr>
        <w:p>
          <w:pPr>
            <w:jc w:val="right"/>
          </w:pPr>
          <w:r>
            <w:rPr>
              <w:rFonts w:ascii="Arial" w:cs="Arial" w:eastAsia="Arial" w:hAnsi="Arial"/>
              <w:b/>
              <w:bCs/>
              <w:color w:val="C0392B"/>
              <w:sz w:val="16"/>
              <w:szCs w:val="16"/>
            </w:rPr>
            <w:t xml:space="preserve">KCC / Konstructum Group</w:t>
          </w:r>
        </w:p>
      </w:tc>
    </w:tr>
  </w:tbl>
  <w:p>
    <w:pPr>
      <w:pBdr>
        <w:bottom w:val="single" w:color="C0392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2026-04-13T07:53:33.007Z</dcterms:created>
  <dcterms:modified xsi:type="dcterms:W3CDTF">2026-04-13T07:53:33.009Z</dcterms:modified>
</cp:coreProperties>
</file>

<file path=docProps/custom.xml><?xml version="1.0" encoding="utf-8"?>
<Properties xmlns="http://schemas.openxmlformats.org/officeDocument/2006/custom-properties" xmlns:vt="http://schemas.openxmlformats.org/officeDocument/2006/docPropsVTypes"/>
</file>