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ADAB" w14:textId="77777777" w:rsidR="00BE3237" w:rsidRPr="00BE3237" w:rsidRDefault="7B4BA388" w:rsidP="00BA21BB">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6B8D8EE1" w:rsidR="7B4BA388" w:rsidRPr="00BE3237" w:rsidRDefault="00BE3237" w:rsidP="00BA21BB">
      <w:pPr>
        <w:jc w:val="both"/>
        <w:rPr>
          <w:rFonts w:ascii="Century Gothic" w:hAnsi="Century Gothic"/>
          <w:color w:val="0070C0"/>
        </w:rPr>
      </w:pPr>
      <w:r w:rsidRPr="56F00AE7">
        <w:rPr>
          <w:rFonts w:ascii="Century Gothic" w:hAnsi="Century Gothic"/>
          <w:b/>
          <w:bCs/>
          <w:sz w:val="28"/>
          <w:szCs w:val="28"/>
        </w:rPr>
        <w:t xml:space="preserve">Finding Name: </w:t>
      </w:r>
      <w:r w:rsidR="00354146">
        <w:rPr>
          <w:rFonts w:ascii="Century Gothic" w:hAnsi="Century Gothic"/>
          <w:color w:val="0070C0"/>
        </w:rPr>
        <w:t xml:space="preserve">Potential </w:t>
      </w:r>
      <w:r w:rsidR="00CE3EEC">
        <w:rPr>
          <w:rFonts w:ascii="Century Gothic" w:hAnsi="Century Gothic"/>
          <w:color w:val="0070C0"/>
        </w:rPr>
        <w:t>Dos Attack.</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778B6C7E">
        <w:trPr>
          <w:trHeight w:val="300"/>
        </w:trPr>
        <w:tc>
          <w:tcPr>
            <w:tcW w:w="1693" w:type="dxa"/>
            <w:tcMar>
              <w:left w:w="105" w:type="dxa"/>
              <w:right w:w="105" w:type="dxa"/>
            </w:tcMar>
          </w:tcPr>
          <w:p w14:paraId="5168774B" w14:textId="5D10EF16" w:rsidR="4EFA2131" w:rsidRPr="00BE3237" w:rsidRDefault="4EFA2131" w:rsidP="00E751B5">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00E751B5">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00E751B5">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00E751B5">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00E751B5">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00E751B5">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778B6C7E">
        <w:trPr>
          <w:trHeight w:val="300"/>
        </w:trPr>
        <w:tc>
          <w:tcPr>
            <w:tcW w:w="1693" w:type="dxa"/>
            <w:tcMar>
              <w:left w:w="105" w:type="dxa"/>
              <w:right w:w="105" w:type="dxa"/>
            </w:tcMar>
          </w:tcPr>
          <w:p w14:paraId="7A0AE70A" w14:textId="649F6144" w:rsidR="4EFA2131" w:rsidRPr="00533EA6" w:rsidRDefault="00650C75" w:rsidP="00E751B5">
            <w:pPr>
              <w:spacing w:line="259" w:lineRule="auto"/>
              <w:jc w:val="center"/>
              <w:rPr>
                <w:rFonts w:ascii="Century Gothic" w:eastAsia="Segoe UI" w:hAnsi="Century Gothic" w:cs="Segoe UI"/>
                <w:color w:val="0070C0"/>
                <w:sz w:val="18"/>
                <w:szCs w:val="18"/>
              </w:rPr>
            </w:pPr>
            <w:r>
              <w:rPr>
                <w:rFonts w:ascii="Century Gothic" w:eastAsia="Segoe UI" w:hAnsi="Century Gothic" w:cs="Segoe UI"/>
                <w:color w:val="0070C0"/>
                <w:sz w:val="18"/>
                <w:szCs w:val="18"/>
              </w:rPr>
              <w:t>Gaurish Bhatia</w:t>
            </w:r>
          </w:p>
        </w:tc>
        <w:tc>
          <w:tcPr>
            <w:tcW w:w="1037" w:type="dxa"/>
            <w:tcMar>
              <w:left w:w="105" w:type="dxa"/>
              <w:right w:w="105" w:type="dxa"/>
            </w:tcMar>
          </w:tcPr>
          <w:p w14:paraId="5D321C9C" w14:textId="23A14842" w:rsidR="4EFA2131" w:rsidRPr="00533EA6" w:rsidRDefault="145FBBD9" w:rsidP="00E751B5">
            <w:pPr>
              <w:spacing w:line="259" w:lineRule="auto"/>
              <w:jc w:val="center"/>
              <w:rPr>
                <w:rFonts w:ascii="Century Gothic" w:eastAsia="Segoe UI" w:hAnsi="Century Gothic" w:cs="Segoe UI"/>
                <w:color w:val="0070C0"/>
                <w:sz w:val="18"/>
                <w:szCs w:val="18"/>
              </w:rPr>
            </w:pPr>
            <w:r w:rsidRPr="778B6C7E">
              <w:rPr>
                <w:rFonts w:ascii="Century Gothic" w:eastAsia="Segoe UI" w:hAnsi="Century Gothic" w:cs="Segoe UI"/>
                <w:color w:val="0070C0"/>
                <w:sz w:val="18"/>
                <w:szCs w:val="18"/>
              </w:rPr>
              <w:t>SCR</w:t>
            </w:r>
          </w:p>
        </w:tc>
        <w:tc>
          <w:tcPr>
            <w:tcW w:w="1440" w:type="dxa"/>
            <w:tcMar>
              <w:left w:w="105" w:type="dxa"/>
              <w:right w:w="105" w:type="dxa"/>
            </w:tcMar>
          </w:tcPr>
          <w:p w14:paraId="604D3771" w14:textId="41BB602F" w:rsidR="4EFA2131" w:rsidRPr="00533EA6" w:rsidRDefault="00E86954" w:rsidP="00E751B5">
            <w:pPr>
              <w:spacing w:line="259" w:lineRule="auto"/>
              <w:jc w:val="center"/>
              <w:rPr>
                <w:rFonts w:ascii="Century Gothic" w:eastAsia="Century Gothic" w:hAnsi="Century Gothic" w:cs="Century Gothic"/>
                <w:color w:val="0070C0"/>
                <w:sz w:val="18"/>
                <w:szCs w:val="18"/>
              </w:rPr>
            </w:pPr>
            <w:r>
              <w:rPr>
                <w:rFonts w:ascii="Century Gothic" w:eastAsia="Century Gothic" w:hAnsi="Century Gothic" w:cs="Century Gothic"/>
                <w:color w:val="0070C0"/>
                <w:sz w:val="18"/>
                <w:szCs w:val="18"/>
              </w:rPr>
              <w:t xml:space="preserve">Junior </w:t>
            </w:r>
            <w:r w:rsidR="00650C75">
              <w:rPr>
                <w:rFonts w:ascii="Century Gothic" w:eastAsia="Century Gothic" w:hAnsi="Century Gothic" w:cs="Century Gothic"/>
                <w:color w:val="0070C0"/>
                <w:sz w:val="18"/>
                <w:szCs w:val="18"/>
              </w:rPr>
              <w:t>SCR team member</w:t>
            </w:r>
          </w:p>
          <w:p w14:paraId="548E61B0" w14:textId="70120EFC" w:rsidR="4EFA2131" w:rsidRPr="00533EA6" w:rsidRDefault="4EFA2131" w:rsidP="00E751B5">
            <w:pPr>
              <w:spacing w:line="259" w:lineRule="auto"/>
              <w:jc w:val="center"/>
              <w:rPr>
                <w:rFonts w:ascii="Century Gothic" w:eastAsia="Segoe UI" w:hAnsi="Century Gothic" w:cs="Segoe UI"/>
                <w:color w:val="0070C0"/>
                <w:sz w:val="18"/>
                <w:szCs w:val="18"/>
              </w:rPr>
            </w:pPr>
          </w:p>
        </w:tc>
        <w:tc>
          <w:tcPr>
            <w:tcW w:w="1095" w:type="dxa"/>
            <w:tcMar>
              <w:left w:w="105" w:type="dxa"/>
              <w:right w:w="105" w:type="dxa"/>
            </w:tcMar>
          </w:tcPr>
          <w:p w14:paraId="06B080F4" w14:textId="6848CBE6" w:rsidR="4EFA2131" w:rsidRPr="00533EA6" w:rsidRDefault="00BE3237" w:rsidP="00E751B5">
            <w:pPr>
              <w:spacing w:line="259" w:lineRule="auto"/>
              <w:jc w:val="center"/>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039695CE" w:rsidR="4EFA2131" w:rsidRPr="00533EA6" w:rsidRDefault="00CE3EEC" w:rsidP="00E751B5">
            <w:pPr>
              <w:spacing w:line="259" w:lineRule="auto"/>
              <w:jc w:val="center"/>
              <w:rPr>
                <w:rFonts w:ascii="Century Gothic" w:eastAsia="Segoe UI" w:hAnsi="Century Gothic" w:cs="Segoe UI"/>
                <w:color w:val="0070C0"/>
                <w:sz w:val="18"/>
                <w:szCs w:val="18"/>
              </w:rPr>
            </w:pPr>
            <w:r>
              <w:rPr>
                <w:rFonts w:ascii="Century Gothic" w:eastAsia="Segoe UI" w:hAnsi="Century Gothic" w:cs="Segoe UI"/>
                <w:color w:val="0070C0"/>
                <w:sz w:val="18"/>
                <w:szCs w:val="18"/>
              </w:rPr>
              <w:t>Jaspriya Kaur and Payas Paul</w:t>
            </w:r>
          </w:p>
        </w:tc>
        <w:tc>
          <w:tcPr>
            <w:tcW w:w="2088" w:type="dxa"/>
            <w:tcMar>
              <w:left w:w="105" w:type="dxa"/>
              <w:right w:w="105" w:type="dxa"/>
            </w:tcMar>
          </w:tcPr>
          <w:p w14:paraId="09BF272D" w14:textId="14BA758C" w:rsidR="4EFA2131" w:rsidRPr="00BE3237" w:rsidRDefault="4EFA2131" w:rsidP="00E751B5">
            <w:pPr>
              <w:spacing w:line="259" w:lineRule="auto"/>
              <w:jc w:val="center"/>
              <w:rPr>
                <w:rFonts w:ascii="Century Gothic" w:eastAsia="Segoe UI" w:hAnsi="Century Gothic" w:cs="Segoe UI"/>
                <w:color w:val="000000" w:themeColor="text1"/>
                <w:sz w:val="18"/>
                <w:szCs w:val="18"/>
              </w:rPr>
            </w:pPr>
          </w:p>
        </w:tc>
      </w:tr>
    </w:tbl>
    <w:p w14:paraId="26CD8E7F" w14:textId="1B9359F5" w:rsidR="6009D5C6" w:rsidRPr="00BE3237" w:rsidRDefault="6009D5C6" w:rsidP="00E751B5">
      <w:pPr>
        <w:jc w:val="cente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00E751B5">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00E751B5">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00BA21BB">
      <w:pPr>
        <w:jc w:val="both"/>
        <w:rPr>
          <w:rFonts w:ascii="Century Gothic" w:hAnsi="Century Gothic"/>
          <w:b/>
          <w:bCs/>
          <w:sz w:val="24"/>
          <w:szCs w:val="24"/>
        </w:rPr>
      </w:pPr>
      <w:r w:rsidRPr="00BE3237">
        <w:rPr>
          <w:rFonts w:ascii="Century Gothic" w:hAnsi="Century Gothic"/>
          <w:b/>
          <w:bCs/>
          <w:sz w:val="24"/>
          <w:szCs w:val="24"/>
        </w:rPr>
        <w:t>Finding Description</w:t>
      </w:r>
    </w:p>
    <w:p w14:paraId="0EA13B65" w14:textId="62AB3DDF" w:rsidR="00CE3EEC" w:rsidRDefault="00CE3EEC" w:rsidP="006F05BC">
      <w:pPr>
        <w:jc w:val="both"/>
        <w:rPr>
          <w:rFonts w:ascii="Century Gothic" w:hAnsi="Century Gothic"/>
          <w:color w:val="0070C0"/>
        </w:rPr>
      </w:pPr>
      <w:r w:rsidRPr="00CE3EEC">
        <w:rPr>
          <w:rFonts w:ascii="Century Gothic" w:hAnsi="Century Gothic"/>
          <w:color w:val="0070C0"/>
        </w:rPr>
        <w:t>A Denial of Service (DoS) attack refers to a category of attacks that are intended to render a system inaccessible to its legitimate users.</w:t>
      </w:r>
      <w:r w:rsidR="006F05BC">
        <w:rPr>
          <w:rFonts w:ascii="Century Gothic" w:hAnsi="Century Gothic"/>
          <w:color w:val="0070C0"/>
        </w:rPr>
        <w:t xml:space="preserve"> </w:t>
      </w:r>
      <w:r w:rsidRPr="00CE3EEC">
        <w:rPr>
          <w:rFonts w:ascii="Century Gothic" w:hAnsi="Century Gothic"/>
          <w:color w:val="0070C0"/>
        </w:rPr>
        <w:t>In contrast to other security vulnerabilities, DoS attacks are not typically aimed at breaching security measures. Instead, their primary goal is to disrupt websites and services, causing them to become unavailable to genuine users and resulting in downtim</w:t>
      </w:r>
      <w:r w:rsidR="006F05BC">
        <w:rPr>
          <w:rFonts w:ascii="Century Gothic" w:hAnsi="Century Gothic"/>
          <w:color w:val="0070C0"/>
        </w:rPr>
        <w:t>e.</w:t>
      </w:r>
    </w:p>
    <w:p w14:paraId="50911984" w14:textId="6568D2B1" w:rsidR="2953A169" w:rsidRPr="00CE3EEC" w:rsidRDefault="2953A169" w:rsidP="00CE3EEC">
      <w:pPr>
        <w:rPr>
          <w:rFonts w:ascii="Century Gothic" w:hAnsi="Century Gothic"/>
          <w:color w:val="0070C0"/>
        </w:rPr>
      </w:pPr>
      <w:r w:rsidRPr="4AF31C8B">
        <w:rPr>
          <w:rFonts w:ascii="Century Gothic" w:hAnsi="Century Gothic"/>
          <w:b/>
          <w:bCs/>
          <w:sz w:val="24"/>
          <w:szCs w:val="24"/>
        </w:rPr>
        <w:t>Risk Rating</w:t>
      </w:r>
      <w:r>
        <w:br/>
      </w:r>
      <w:r w:rsidRPr="4AF31C8B">
        <w:rPr>
          <w:rFonts w:ascii="Century Gothic" w:hAnsi="Century Gothic"/>
        </w:rPr>
        <w:t>Impact:</w:t>
      </w:r>
      <w:r w:rsidR="00F52A31">
        <w:rPr>
          <w:rFonts w:ascii="Century Gothic" w:hAnsi="Century Gothic"/>
        </w:rPr>
        <w:t xml:space="preserve"> </w:t>
      </w:r>
      <w:r w:rsidR="00CE3EEC" w:rsidRPr="00CE3EEC">
        <w:rPr>
          <w:rFonts w:ascii="Century Gothic" w:hAnsi="Century Gothic"/>
          <w:highlight w:val="yellow"/>
        </w:rPr>
        <w:t>Major</w:t>
      </w:r>
      <w:r>
        <w:br/>
      </w:r>
      <w:r w:rsidR="40E462CF" w:rsidRPr="4AF31C8B">
        <w:rPr>
          <w:rFonts w:ascii="Century Gothic" w:hAnsi="Century Gothic"/>
        </w:rPr>
        <w:t xml:space="preserve">Likelihood: </w:t>
      </w:r>
      <w:r w:rsidR="00CE3EEC" w:rsidRPr="00CE3EEC">
        <w:rPr>
          <w:rFonts w:ascii="Century Gothic" w:hAnsi="Century Gothic"/>
          <w:highlight w:val="yellow"/>
        </w:rPr>
        <w:t>High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00BA21BB">
            <w:pPr>
              <w:spacing w:line="259" w:lineRule="auto"/>
              <w:jc w:val="both"/>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00BA21BB">
            <w:pPr>
              <w:spacing w:line="259" w:lineRule="auto"/>
              <w:jc w:val="both"/>
              <w:rPr>
                <w:rFonts w:ascii="Century Gothic" w:eastAsia="Calibri" w:hAnsi="Century Gothic" w:cs="Calibri"/>
                <w:sz w:val="20"/>
                <w:szCs w:val="20"/>
              </w:rPr>
            </w:pPr>
            <w:r w:rsidRPr="00E00E53">
              <w:rPr>
                <w:rFonts w:ascii="Century Gothic" w:eastAsia="Calibri" w:hAnsi="Century Gothic" w:cs="Calibri"/>
                <w:sz w:val="20"/>
                <w:szCs w:val="20"/>
                <w:highlight w:val="yellow"/>
                <w:lang w:val="en-AU"/>
              </w:rPr>
              <w:t>Risk that holds major impact to be of threat. Will cause damage that will impede regular activity and will not be able to run normally.</w:t>
            </w:r>
            <w:r w:rsidRPr="00BE3237">
              <w:rPr>
                <w:rFonts w:ascii="Century Gothic" w:eastAsia="Calibri" w:hAnsi="Century Gothic" w:cs="Calibri"/>
                <w:sz w:val="20"/>
                <w:szCs w:val="20"/>
                <w:lang w:val="en-AU"/>
              </w:rPr>
              <w:t> </w:t>
            </w:r>
          </w:p>
        </w:tc>
        <w:tc>
          <w:tcPr>
            <w:tcW w:w="1800" w:type="dxa"/>
            <w:tcMar>
              <w:left w:w="105" w:type="dxa"/>
              <w:right w:w="105" w:type="dxa"/>
            </w:tcMar>
          </w:tcPr>
          <w:p w14:paraId="1D674ADC" w14:textId="178667F7"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00BA21BB">
      <w:pPr>
        <w:jc w:val="both"/>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Event may occur and/or if it did, it happens in specific circumstances. </w:t>
            </w:r>
          </w:p>
        </w:tc>
        <w:tc>
          <w:tcPr>
            <w:tcW w:w="1800" w:type="dxa"/>
            <w:tcMar>
              <w:left w:w="105" w:type="dxa"/>
              <w:right w:w="105" w:type="dxa"/>
            </w:tcMar>
          </w:tcPr>
          <w:p w14:paraId="7D021DE4" w14:textId="3581CF85"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ACA7D49" w14:textId="00DEA8EA"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00BA21BB">
            <w:pPr>
              <w:spacing w:line="259" w:lineRule="auto"/>
              <w:jc w:val="both"/>
              <w:rPr>
                <w:rFonts w:ascii="Century Gothic" w:eastAsia="Calibri" w:hAnsi="Century Gothic" w:cs="Calibri"/>
                <w:sz w:val="20"/>
                <w:szCs w:val="20"/>
              </w:rPr>
            </w:pPr>
            <w:r w:rsidRPr="00E00E53">
              <w:rPr>
                <w:rFonts w:ascii="Century Gothic" w:eastAsia="Calibri" w:hAnsi="Century Gothic" w:cs="Calibri"/>
                <w:sz w:val="20"/>
                <w:szCs w:val="20"/>
                <w:highlight w:val="yellow"/>
                <w:lang w:val="en-AU"/>
              </w:rPr>
              <w:t>Event occurs at times and/or probably happens a lot</w:t>
            </w:r>
            <w:r w:rsidRPr="00BE3237">
              <w:rPr>
                <w:rFonts w:ascii="Century Gothic" w:eastAsia="Calibri" w:hAnsi="Century Gothic" w:cs="Calibri"/>
                <w:sz w:val="20"/>
                <w:szCs w:val="20"/>
                <w:lang w:val="en-AU"/>
              </w:rPr>
              <w:t>. </w:t>
            </w:r>
          </w:p>
        </w:tc>
        <w:tc>
          <w:tcPr>
            <w:tcW w:w="1800" w:type="dxa"/>
            <w:tcMar>
              <w:left w:w="105" w:type="dxa"/>
              <w:right w:w="105" w:type="dxa"/>
            </w:tcMar>
          </w:tcPr>
          <w:p w14:paraId="71EBB1DD" w14:textId="621A3EA4" w:rsidR="6009D5C6" w:rsidRPr="00BE3237" w:rsidRDefault="6009D5C6" w:rsidP="00BA21BB">
            <w:pPr>
              <w:spacing w:line="259" w:lineRule="auto"/>
              <w:jc w:val="both"/>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00BA21BB">
      <w:pPr>
        <w:jc w:val="both"/>
        <w:rPr>
          <w:rFonts w:ascii="Century Gothic" w:eastAsia="Calibri" w:hAnsi="Century Gothic" w:cs="Calibri"/>
          <w:color w:val="000000" w:themeColor="text1"/>
        </w:rPr>
      </w:pPr>
    </w:p>
    <w:p w14:paraId="5E37D020" w14:textId="55A1ED07" w:rsidR="589BB971" w:rsidRPr="00BE3237" w:rsidRDefault="589BB971" w:rsidP="00BA21BB">
      <w:pPr>
        <w:jc w:val="both"/>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44D74498" w14:textId="51B1C088" w:rsidR="006F05BC" w:rsidRDefault="00696235" w:rsidP="00BA21BB">
      <w:pPr>
        <w:jc w:val="both"/>
        <w:rPr>
          <w:rFonts w:ascii="Century Gothic" w:eastAsia="Calibri" w:hAnsi="Century Gothic" w:cs="Calibri"/>
          <w:color w:val="0070C0"/>
          <w:sz w:val="24"/>
          <w:szCs w:val="24"/>
        </w:rPr>
      </w:pPr>
      <w:r>
        <w:rPr>
          <w:rFonts w:ascii="Century Gothic" w:eastAsia="Calibri" w:hAnsi="Century Gothic" w:cs="Calibri"/>
          <w:color w:val="0070C0"/>
          <w:sz w:val="24"/>
          <w:szCs w:val="24"/>
        </w:rPr>
        <w:t>A Denial of service attack could lead to a temporary loss of services due to overloading amount of queries or processes, which could overpower the processing power of the server and could lead to shut down of services, which could further lead into loss of revenue.</w:t>
      </w:r>
    </w:p>
    <w:p w14:paraId="7253CF2E" w14:textId="5E718A66" w:rsidR="5994D52E" w:rsidRDefault="5994D52E" w:rsidP="00BA21BB">
      <w:pPr>
        <w:jc w:val="both"/>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6D821E74" w14:textId="08201F71" w:rsidR="00627F34" w:rsidRDefault="00627F34" w:rsidP="00BA21BB">
      <w:pPr>
        <w:jc w:val="both"/>
        <w:rPr>
          <w:rFonts w:ascii="Century Gothic" w:eastAsia="Calibri" w:hAnsi="Century Gothic" w:cs="Calibri"/>
          <w:b/>
          <w:bCs/>
          <w:color w:val="000000" w:themeColor="text1"/>
          <w:sz w:val="24"/>
          <w:szCs w:val="24"/>
        </w:rPr>
      </w:pPr>
      <w:r>
        <w:rPr>
          <w:rFonts w:ascii="Century Gothic" w:eastAsia="Calibri" w:hAnsi="Century Gothic" w:cs="Calibri"/>
          <w:b/>
          <w:bCs/>
          <w:color w:val="000000" w:themeColor="text1"/>
          <w:sz w:val="24"/>
          <w:szCs w:val="24"/>
        </w:rPr>
        <w:t>Rack package version 2.2.6.4</w:t>
      </w:r>
    </w:p>
    <w:p w14:paraId="0AA76567" w14:textId="14236FBA" w:rsidR="00627F34" w:rsidRPr="00BE3237" w:rsidRDefault="00627F34" w:rsidP="00BA21BB">
      <w:pPr>
        <w:jc w:val="both"/>
        <w:rPr>
          <w:rFonts w:ascii="Century Gothic" w:eastAsia="Calibri" w:hAnsi="Century Gothic" w:cs="Calibri"/>
          <w:b/>
          <w:bCs/>
          <w:color w:val="000000" w:themeColor="text1"/>
          <w:sz w:val="24"/>
          <w:szCs w:val="24"/>
        </w:rPr>
      </w:pPr>
      <w:r>
        <w:rPr>
          <w:rFonts w:ascii="Century Gothic" w:eastAsia="Calibri" w:hAnsi="Century Gothic" w:cs="Calibri"/>
          <w:b/>
          <w:bCs/>
          <w:color w:val="000000" w:themeColor="text1"/>
          <w:sz w:val="24"/>
          <w:szCs w:val="24"/>
        </w:rPr>
        <w:t xml:space="preserve">Rack Package </w:t>
      </w:r>
    </w:p>
    <w:p w14:paraId="69B7DB13" w14:textId="7D947FB1" w:rsidR="5994D52E" w:rsidRDefault="5994D52E" w:rsidP="00BA21BB">
      <w:pPr>
        <w:jc w:val="both"/>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35B4C88B" w14:textId="641DE457" w:rsidR="33AA5DC2" w:rsidRDefault="00F52A31" w:rsidP="00BA21BB">
      <w:pPr>
        <w:jc w:val="both"/>
        <w:rPr>
          <w:rFonts w:ascii="Century Gothic" w:eastAsia="Calibri" w:hAnsi="Century Gothic" w:cs="Calibri"/>
          <w:color w:val="0070C0"/>
          <w:sz w:val="24"/>
          <w:szCs w:val="24"/>
        </w:rPr>
      </w:pPr>
      <w:r>
        <w:rPr>
          <w:rFonts w:ascii="Century Gothic" w:eastAsia="Calibri" w:hAnsi="Century Gothic" w:cs="Calibri"/>
          <w:color w:val="0070C0"/>
          <w:sz w:val="24"/>
          <w:szCs w:val="24"/>
        </w:rPr>
        <w:t xml:space="preserve">The </w:t>
      </w:r>
      <w:r w:rsidR="006E04AD">
        <w:rPr>
          <w:rFonts w:ascii="Century Gothic" w:eastAsia="Calibri" w:hAnsi="Century Gothic" w:cs="Calibri"/>
          <w:color w:val="0070C0"/>
          <w:sz w:val="24"/>
          <w:szCs w:val="24"/>
        </w:rPr>
        <w:t>following screenshot shows the line of the vulnerable code :</w:t>
      </w:r>
    </w:p>
    <w:p w14:paraId="0FEAF61D" w14:textId="2E81E945" w:rsidR="00110EA6" w:rsidRDefault="00110EA6" w:rsidP="00BA21BB">
      <w:pPr>
        <w:jc w:val="both"/>
        <w:rPr>
          <w:rFonts w:ascii="Century Gothic" w:eastAsia="Calibri" w:hAnsi="Century Gothic" w:cs="Calibri"/>
          <w:b/>
          <w:bCs/>
          <w:noProof/>
          <w:color w:val="0070C0"/>
        </w:rPr>
      </w:pPr>
    </w:p>
    <w:p w14:paraId="2570D199" w14:textId="2AC49FDE" w:rsidR="00627F34" w:rsidRDefault="00627F34" w:rsidP="00BA21BB">
      <w:pPr>
        <w:jc w:val="both"/>
        <w:rPr>
          <w:rFonts w:ascii="Century Gothic" w:eastAsia="Calibri" w:hAnsi="Century Gothic" w:cs="Calibri"/>
          <w:b/>
          <w:bCs/>
          <w:color w:val="0070C0"/>
        </w:rPr>
      </w:pPr>
      <w:r>
        <w:rPr>
          <w:rFonts w:ascii="Century Gothic" w:eastAsia="Calibri" w:hAnsi="Century Gothic" w:cs="Calibri"/>
          <w:b/>
          <w:bCs/>
          <w:noProof/>
          <w:color w:val="0070C0"/>
        </w:rPr>
        <w:drawing>
          <wp:inline distT="0" distB="0" distL="0" distR="0" wp14:anchorId="5435CBAF" wp14:editId="0B6FBA3D">
            <wp:extent cx="5730737" cy="2065199"/>
            <wp:effectExtent l="0" t="0" r="3810" b="0"/>
            <wp:docPr id="895738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38164"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0737" cy="2065199"/>
                    </a:xfrm>
                    <a:prstGeom prst="rect">
                      <a:avLst/>
                    </a:prstGeom>
                  </pic:spPr>
                </pic:pic>
              </a:graphicData>
            </a:graphic>
          </wp:inline>
        </w:drawing>
      </w:r>
    </w:p>
    <w:p w14:paraId="13B1F3ED" w14:textId="77777777" w:rsidR="00810A60" w:rsidRDefault="00810A60" w:rsidP="00BA21BB">
      <w:pPr>
        <w:jc w:val="both"/>
        <w:rPr>
          <w:rFonts w:ascii="Century Gothic" w:eastAsia="Calibri" w:hAnsi="Century Gothic" w:cs="Calibri"/>
          <w:b/>
          <w:bCs/>
          <w:color w:val="0070C0"/>
        </w:rPr>
      </w:pPr>
    </w:p>
    <w:p w14:paraId="3C4D3C6E" w14:textId="7A140A1F" w:rsidR="004A18CA" w:rsidRPr="00810A60" w:rsidRDefault="00627F34" w:rsidP="00BA21BB">
      <w:pPr>
        <w:jc w:val="both"/>
        <w:rPr>
          <w:rFonts w:ascii="Century Gothic" w:eastAsia="Calibri" w:hAnsi="Century Gothic" w:cs="Calibri"/>
          <w:b/>
          <w:bCs/>
          <w:color w:val="0070C0"/>
        </w:rPr>
      </w:pPr>
      <w:r>
        <w:rPr>
          <w:rFonts w:ascii="Century Gothic" w:eastAsia="Calibri" w:hAnsi="Century Gothic" w:cs="Calibri"/>
          <w:b/>
          <w:bCs/>
          <w:color w:val="0070C0"/>
        </w:rPr>
        <w:t xml:space="preserve">As it could be seen that the rack package is version 2.2.6.4, which is has </w:t>
      </w:r>
      <w:r w:rsidRPr="00627F34">
        <w:rPr>
          <w:rFonts w:ascii="Century Gothic" w:eastAsia="Calibri" w:hAnsi="Century Gothic" w:cs="Calibri"/>
          <w:b/>
          <w:bCs/>
          <w:color w:val="0070C0"/>
        </w:rPr>
        <w:t>CVE-2024-26141</w:t>
      </w:r>
      <w:r>
        <w:rPr>
          <w:rFonts w:ascii="Century Gothic" w:eastAsia="Calibri" w:hAnsi="Century Gothic" w:cs="Calibri"/>
          <w:b/>
          <w:bCs/>
          <w:color w:val="0070C0"/>
        </w:rPr>
        <w:t xml:space="preserve"> and </w:t>
      </w:r>
      <w:r w:rsidR="004A18CA" w:rsidRPr="004A18CA">
        <w:rPr>
          <w:rFonts w:ascii="Century Gothic" w:eastAsia="Calibri" w:hAnsi="Century Gothic" w:cs="Calibri"/>
          <w:b/>
          <w:bCs/>
          <w:color w:val="0070C0"/>
        </w:rPr>
        <w:t>CWE-400</w:t>
      </w:r>
      <w:r w:rsidR="004A18CA">
        <w:rPr>
          <w:rFonts w:ascii="Century Gothic" w:eastAsia="Calibri" w:hAnsi="Century Gothic" w:cs="Calibri"/>
          <w:b/>
          <w:bCs/>
          <w:color w:val="0070C0"/>
        </w:rPr>
        <w:t xml:space="preserve"> vulnerabilities, due to which there is potential Denial of service attack, which could be executed.</w:t>
      </w:r>
    </w:p>
    <w:p w14:paraId="1A39F837" w14:textId="77777777" w:rsidR="00E00E53" w:rsidRDefault="00E00E53" w:rsidP="00BA21BB">
      <w:pPr>
        <w:jc w:val="both"/>
        <w:rPr>
          <w:rFonts w:ascii="Century Gothic" w:eastAsia="Calibri" w:hAnsi="Century Gothic" w:cs="Calibri"/>
          <w:color w:val="0070C0"/>
        </w:rPr>
      </w:pPr>
    </w:p>
    <w:p w14:paraId="3F85FFF3" w14:textId="77777777" w:rsidR="00E00E53" w:rsidRDefault="00E00E53" w:rsidP="00BA21BB">
      <w:pPr>
        <w:jc w:val="both"/>
        <w:rPr>
          <w:rFonts w:ascii="Century Gothic" w:eastAsia="Calibri" w:hAnsi="Century Gothic" w:cs="Calibri"/>
          <w:b/>
          <w:bCs/>
          <w:color w:val="000000" w:themeColor="text1"/>
          <w:sz w:val="24"/>
          <w:szCs w:val="24"/>
        </w:rPr>
      </w:pPr>
    </w:p>
    <w:p w14:paraId="464C63E0" w14:textId="77777777" w:rsidR="00AA4C24" w:rsidRDefault="00AA4C24" w:rsidP="00BA21BB">
      <w:pPr>
        <w:jc w:val="both"/>
        <w:rPr>
          <w:rFonts w:ascii="Century Gothic" w:eastAsia="Calibri" w:hAnsi="Century Gothic" w:cs="Calibri"/>
          <w:b/>
          <w:bCs/>
          <w:color w:val="000000" w:themeColor="text1"/>
          <w:sz w:val="24"/>
          <w:szCs w:val="24"/>
        </w:rPr>
      </w:pPr>
    </w:p>
    <w:p w14:paraId="52748EB2" w14:textId="77777777" w:rsidR="00AA4C24" w:rsidRDefault="00AA4C24" w:rsidP="00BA21BB">
      <w:pPr>
        <w:jc w:val="both"/>
        <w:rPr>
          <w:rFonts w:ascii="Century Gothic" w:eastAsia="Calibri" w:hAnsi="Century Gothic" w:cs="Calibri"/>
          <w:b/>
          <w:bCs/>
          <w:color w:val="000000" w:themeColor="text1"/>
          <w:sz w:val="24"/>
          <w:szCs w:val="24"/>
        </w:rPr>
      </w:pPr>
    </w:p>
    <w:p w14:paraId="13C1C6A4" w14:textId="2DF2513C" w:rsidR="00AA4C24" w:rsidRDefault="00AA4C24" w:rsidP="00BA21BB">
      <w:pPr>
        <w:jc w:val="both"/>
        <w:rPr>
          <w:rFonts w:ascii="Century Gothic" w:eastAsia="Calibri" w:hAnsi="Century Gothic" w:cs="Calibri"/>
          <w:b/>
          <w:bCs/>
          <w:color w:val="000000" w:themeColor="text1"/>
          <w:sz w:val="24"/>
          <w:szCs w:val="24"/>
        </w:rPr>
      </w:pPr>
      <w:r>
        <w:rPr>
          <w:rFonts w:ascii="Century Gothic" w:eastAsia="Calibri" w:hAnsi="Century Gothic" w:cs="Calibri"/>
          <w:b/>
          <w:bCs/>
          <w:color w:val="000000" w:themeColor="text1"/>
          <w:sz w:val="24"/>
          <w:szCs w:val="24"/>
        </w:rPr>
        <w:t>Here are the other evidence on the given vulnerability:</w:t>
      </w:r>
    </w:p>
    <w:p w14:paraId="6F7AB9F4" w14:textId="77777777" w:rsidR="00AA4C24" w:rsidRDefault="00AA4C24" w:rsidP="00BA21BB">
      <w:pPr>
        <w:jc w:val="both"/>
        <w:rPr>
          <w:rFonts w:ascii="Century Gothic" w:eastAsia="Calibri" w:hAnsi="Century Gothic" w:cs="Calibri"/>
          <w:b/>
          <w:bCs/>
          <w:color w:val="000000" w:themeColor="text1"/>
          <w:sz w:val="24"/>
          <w:szCs w:val="24"/>
        </w:rPr>
      </w:pPr>
    </w:p>
    <w:p w14:paraId="7BD2F703" w14:textId="78851E2E" w:rsidR="00AA4C24" w:rsidRDefault="00AA4C24" w:rsidP="00BA21BB">
      <w:pPr>
        <w:jc w:val="both"/>
        <w:rPr>
          <w:rFonts w:ascii="Century Gothic" w:eastAsia="Calibri" w:hAnsi="Century Gothic" w:cs="Calibri"/>
          <w:b/>
          <w:bCs/>
          <w:color w:val="000000" w:themeColor="text1"/>
          <w:sz w:val="24"/>
          <w:szCs w:val="24"/>
        </w:rPr>
      </w:pPr>
      <w:r>
        <w:rPr>
          <w:rFonts w:ascii="Century Gothic" w:eastAsia="Calibri" w:hAnsi="Century Gothic" w:cs="Calibri"/>
          <w:b/>
          <w:bCs/>
          <w:noProof/>
          <w:color w:val="000000" w:themeColor="text1"/>
          <w:sz w:val="24"/>
          <w:szCs w:val="24"/>
        </w:rPr>
        <w:drawing>
          <wp:anchor distT="0" distB="0" distL="114300" distR="114300" simplePos="0" relativeHeight="251658240" behindDoc="0" locked="0" layoutInCell="1" allowOverlap="1" wp14:anchorId="75A16914" wp14:editId="25E3B483">
            <wp:simplePos x="0" y="0"/>
            <wp:positionH relativeFrom="page">
              <wp:align>left</wp:align>
            </wp:positionH>
            <wp:positionV relativeFrom="paragraph">
              <wp:posOffset>307975</wp:posOffset>
            </wp:positionV>
            <wp:extent cx="7840547" cy="3939540"/>
            <wp:effectExtent l="0" t="0" r="8255" b="3810"/>
            <wp:wrapSquare wrapText="bothSides"/>
            <wp:docPr id="18642371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37175"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840547" cy="3939540"/>
                    </a:xfrm>
                    <a:prstGeom prst="rect">
                      <a:avLst/>
                    </a:prstGeom>
                  </pic:spPr>
                </pic:pic>
              </a:graphicData>
            </a:graphic>
            <wp14:sizeRelH relativeFrom="margin">
              <wp14:pctWidth>0</wp14:pctWidth>
            </wp14:sizeRelH>
            <wp14:sizeRelV relativeFrom="margin">
              <wp14:pctHeight>0</wp14:pctHeight>
            </wp14:sizeRelV>
          </wp:anchor>
        </w:drawing>
      </w:r>
    </w:p>
    <w:p w14:paraId="070C598F" w14:textId="47508EDA" w:rsidR="00AA4C24" w:rsidRDefault="00AA4C24" w:rsidP="00BA21BB">
      <w:pPr>
        <w:jc w:val="both"/>
        <w:rPr>
          <w:rFonts w:ascii="Century Gothic" w:eastAsia="Calibri" w:hAnsi="Century Gothic" w:cs="Calibri"/>
          <w:b/>
          <w:bCs/>
          <w:color w:val="000000" w:themeColor="text1"/>
          <w:sz w:val="24"/>
          <w:szCs w:val="24"/>
        </w:rPr>
      </w:pPr>
      <w:r>
        <w:rPr>
          <w:rFonts w:ascii="Century Gothic" w:eastAsia="Calibri" w:hAnsi="Century Gothic" w:cs="Calibri"/>
          <w:b/>
          <w:bCs/>
          <w:color w:val="000000" w:themeColor="text1"/>
          <w:sz w:val="24"/>
          <w:szCs w:val="24"/>
        </w:rPr>
        <w:t xml:space="preserve"> </w:t>
      </w:r>
    </w:p>
    <w:p w14:paraId="5C7FD27B" w14:textId="77777777" w:rsidR="00AA4C24" w:rsidRDefault="00AA4C24" w:rsidP="00BA21BB">
      <w:pPr>
        <w:jc w:val="both"/>
        <w:rPr>
          <w:rFonts w:ascii="Century Gothic" w:eastAsia="Calibri" w:hAnsi="Century Gothic" w:cs="Calibri"/>
          <w:b/>
          <w:bCs/>
          <w:color w:val="000000" w:themeColor="text1"/>
          <w:sz w:val="24"/>
          <w:szCs w:val="24"/>
        </w:rPr>
      </w:pPr>
    </w:p>
    <w:p w14:paraId="2E2CBBF1" w14:textId="647B3DD3" w:rsidR="00AA4C24" w:rsidRDefault="00AA4C24" w:rsidP="00BA21BB">
      <w:pPr>
        <w:jc w:val="both"/>
        <w:rPr>
          <w:rFonts w:ascii="Century Gothic" w:eastAsia="Calibri" w:hAnsi="Century Gothic" w:cs="Calibri"/>
          <w:b/>
          <w:bCs/>
          <w:color w:val="000000" w:themeColor="text1"/>
          <w:sz w:val="24"/>
          <w:szCs w:val="24"/>
        </w:rPr>
      </w:pPr>
      <w:r>
        <w:rPr>
          <w:rFonts w:ascii="Century Gothic" w:eastAsia="Calibri" w:hAnsi="Century Gothic" w:cs="Calibri"/>
          <w:b/>
          <w:bCs/>
          <w:noProof/>
          <w:color w:val="000000" w:themeColor="text1"/>
          <w:sz w:val="24"/>
          <w:szCs w:val="24"/>
        </w:rPr>
        <w:drawing>
          <wp:anchor distT="0" distB="0" distL="114300" distR="114300" simplePos="0" relativeHeight="251659264" behindDoc="1" locked="0" layoutInCell="1" allowOverlap="1" wp14:anchorId="614F0DAA" wp14:editId="7BB18654">
            <wp:simplePos x="0" y="0"/>
            <wp:positionH relativeFrom="column">
              <wp:posOffset>0</wp:posOffset>
            </wp:positionH>
            <wp:positionV relativeFrom="paragraph">
              <wp:posOffset>0</wp:posOffset>
            </wp:positionV>
            <wp:extent cx="5943600" cy="3866515"/>
            <wp:effectExtent l="0" t="0" r="0" b="635"/>
            <wp:wrapSquare wrapText="bothSides"/>
            <wp:docPr id="1370254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54267" name="Picture 1370254267"/>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6515"/>
                    </a:xfrm>
                    <a:prstGeom prst="rect">
                      <a:avLst/>
                    </a:prstGeom>
                  </pic:spPr>
                </pic:pic>
              </a:graphicData>
            </a:graphic>
          </wp:anchor>
        </w:drawing>
      </w:r>
    </w:p>
    <w:p w14:paraId="387C534F" w14:textId="77777777" w:rsidR="00AA4C24" w:rsidRDefault="00AA4C24" w:rsidP="00BA21BB">
      <w:pPr>
        <w:jc w:val="both"/>
        <w:rPr>
          <w:rFonts w:ascii="Century Gothic" w:eastAsia="Calibri" w:hAnsi="Century Gothic" w:cs="Calibri"/>
          <w:b/>
          <w:bCs/>
          <w:color w:val="000000" w:themeColor="text1"/>
          <w:sz w:val="24"/>
          <w:szCs w:val="24"/>
        </w:rPr>
      </w:pPr>
    </w:p>
    <w:p w14:paraId="13995464" w14:textId="4171A2F9" w:rsidR="5994D52E" w:rsidRDefault="5994D52E" w:rsidP="00BA21BB">
      <w:pPr>
        <w:jc w:val="both"/>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7BF24CA9" w14:textId="3BFBC654" w:rsidR="6009D5C6" w:rsidRPr="00BE3237" w:rsidRDefault="00E00E53" w:rsidP="00BA21BB">
      <w:pPr>
        <w:jc w:val="both"/>
        <w:rPr>
          <w:rFonts w:ascii="Century Gothic" w:eastAsia="Calibri" w:hAnsi="Century Gothic" w:cs="Calibri"/>
          <w:b/>
          <w:bCs/>
          <w:color w:val="000000" w:themeColor="text1"/>
          <w:sz w:val="24"/>
          <w:szCs w:val="24"/>
        </w:rPr>
      </w:pPr>
      <w:r>
        <w:rPr>
          <w:rFonts w:ascii="Century Gothic" w:eastAsia="Calibri" w:hAnsi="Century Gothic" w:cs="Calibri"/>
          <w:color w:val="0070C0"/>
          <w:sz w:val="24"/>
          <w:szCs w:val="24"/>
        </w:rPr>
        <w:t>This vulnerability could be fixed by upgrading to the version 2.2.8.1,3.0.9.1 or higher in order to mitigate the risk.</w:t>
      </w:r>
    </w:p>
    <w:p w14:paraId="7B1F8889" w14:textId="4E8BC41E" w:rsidR="1E172337" w:rsidRDefault="1E172337" w:rsidP="00BA21BB">
      <w:pPr>
        <w:jc w:val="both"/>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3A67B726" w14:textId="3CE4C224" w:rsidR="00E751B5" w:rsidRDefault="00627F34" w:rsidP="00E751B5">
      <w:pPr>
        <w:jc w:val="both"/>
        <w:rPr>
          <w:rFonts w:ascii="Century Gothic" w:eastAsia="Calibri" w:hAnsi="Century Gothic" w:cs="Calibri"/>
          <w:b/>
          <w:bCs/>
          <w:color w:val="0070C0"/>
        </w:rPr>
      </w:pPr>
      <w:hyperlink r:id="rId14" w:history="1">
        <w:r w:rsidRPr="00E5181D">
          <w:rPr>
            <w:rStyle w:val="Hyperlink"/>
            <w:rFonts w:ascii="Century Gothic" w:eastAsia="Calibri" w:hAnsi="Century Gothic" w:cs="Calibri"/>
            <w:b/>
            <w:bCs/>
          </w:rPr>
          <w:t>https://www.cve.org/CVERecord?id=CVE-2024-26141</w:t>
        </w:r>
      </w:hyperlink>
    </w:p>
    <w:p w14:paraId="022DBE2E" w14:textId="0953D933" w:rsidR="00627F34" w:rsidRDefault="00627F34" w:rsidP="00E751B5">
      <w:pPr>
        <w:jc w:val="both"/>
        <w:rPr>
          <w:rFonts w:ascii="Century Gothic" w:eastAsia="Calibri" w:hAnsi="Century Gothic" w:cs="Calibri"/>
          <w:b/>
          <w:bCs/>
          <w:color w:val="0070C0"/>
        </w:rPr>
      </w:pPr>
      <w:hyperlink r:id="rId15" w:history="1">
        <w:r w:rsidRPr="00E5181D">
          <w:rPr>
            <w:rStyle w:val="Hyperlink"/>
            <w:rFonts w:ascii="Century Gothic" w:eastAsia="Calibri" w:hAnsi="Century Gothic" w:cs="Calibri"/>
            <w:b/>
            <w:bCs/>
          </w:rPr>
          <w:t>https://security.snyk.io/vuln/SNYK-RUBY-RACK-6274385</w:t>
        </w:r>
      </w:hyperlink>
    </w:p>
    <w:p w14:paraId="1A5030E7" w14:textId="185610AA" w:rsidR="00AA4C24" w:rsidRDefault="00AA4C24" w:rsidP="00E751B5">
      <w:pPr>
        <w:jc w:val="both"/>
        <w:rPr>
          <w:rFonts w:ascii="Century Gothic" w:eastAsia="Calibri" w:hAnsi="Century Gothic" w:cs="Calibri"/>
          <w:b/>
          <w:bCs/>
          <w:color w:val="0070C0"/>
        </w:rPr>
      </w:pPr>
      <w:hyperlink r:id="rId16" w:history="1">
        <w:r w:rsidRPr="00E5181D">
          <w:rPr>
            <w:rStyle w:val="Hyperlink"/>
            <w:rFonts w:ascii="Century Gothic" w:eastAsia="Calibri" w:hAnsi="Century Gothic" w:cs="Calibri"/>
            <w:b/>
            <w:bCs/>
          </w:rPr>
          <w:t>https://cwe.mitre.org/data/definitions/400.html</w:t>
        </w:r>
      </w:hyperlink>
    </w:p>
    <w:p w14:paraId="19DCF9C4" w14:textId="77777777" w:rsidR="00E751B5" w:rsidRDefault="00E751B5" w:rsidP="00BA21BB">
      <w:pPr>
        <w:jc w:val="both"/>
        <w:rPr>
          <w:rFonts w:ascii="Century Gothic" w:eastAsia="Calibri" w:hAnsi="Century Gothic" w:cs="Calibri"/>
          <w:b/>
          <w:bCs/>
          <w:color w:val="000000" w:themeColor="text1"/>
        </w:rPr>
      </w:pPr>
    </w:p>
    <w:p w14:paraId="623F4A6E" w14:textId="4AD71AFB" w:rsidR="15591512" w:rsidRDefault="15591512" w:rsidP="00BA21BB">
      <w:pPr>
        <w:jc w:val="both"/>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20BCDEBA" w14:textId="315DBC9B" w:rsidR="6009D5C6" w:rsidRDefault="003A40D5" w:rsidP="00BA21BB">
      <w:pPr>
        <w:jc w:val="both"/>
        <w:rPr>
          <w:rFonts w:ascii="Century Gothic" w:eastAsia="Calibri" w:hAnsi="Century Gothic" w:cs="Calibri"/>
          <w:color w:val="0070C0"/>
          <w:sz w:val="24"/>
          <w:szCs w:val="24"/>
        </w:rPr>
      </w:pPr>
      <w:r>
        <w:rPr>
          <w:rFonts w:ascii="Century Gothic" w:eastAsia="Calibri" w:hAnsi="Century Gothic" w:cs="Calibri"/>
          <w:color w:val="0070C0"/>
          <w:sz w:val="24"/>
          <w:szCs w:val="24"/>
        </w:rPr>
        <w:t>Gaurish Bhatia</w:t>
      </w:r>
    </w:p>
    <w:p w14:paraId="0C1768A7" w14:textId="4390129A" w:rsidR="003A40D5" w:rsidRPr="00BE3237" w:rsidRDefault="003A40D5" w:rsidP="00BA21BB">
      <w:pPr>
        <w:jc w:val="both"/>
        <w:rPr>
          <w:rFonts w:ascii="Century Gothic" w:eastAsia="Calibri" w:hAnsi="Century Gothic" w:cs="Calibri"/>
          <w:b/>
          <w:bCs/>
          <w:color w:val="000000" w:themeColor="text1"/>
          <w:sz w:val="24"/>
          <w:szCs w:val="24"/>
        </w:rPr>
      </w:pPr>
      <w:r>
        <w:rPr>
          <w:rFonts w:ascii="Century Gothic" w:eastAsia="Calibri" w:hAnsi="Century Gothic" w:cs="Calibri"/>
          <w:color w:val="0070C0"/>
          <w:sz w:val="24"/>
          <w:szCs w:val="24"/>
        </w:rPr>
        <w:t>S2221987151@deakin.edu.au</w:t>
      </w:r>
    </w:p>
    <w:p w14:paraId="3B8E6FBF" w14:textId="3567A5C4" w:rsidR="6009D5C6" w:rsidRDefault="2EB418EB" w:rsidP="00BA21BB">
      <w:pPr>
        <w:jc w:val="both"/>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00BA21BB">
      <w:pPr>
        <w:jc w:val="both"/>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0FC5E" w14:textId="77777777" w:rsidR="00C11F27" w:rsidRDefault="00C11F27" w:rsidP="00CA27D7">
      <w:pPr>
        <w:spacing w:after="0" w:line="240" w:lineRule="auto"/>
      </w:pPr>
      <w:r>
        <w:separator/>
      </w:r>
    </w:p>
  </w:endnote>
  <w:endnote w:type="continuationSeparator" w:id="0">
    <w:p w14:paraId="20B5FFDA" w14:textId="77777777" w:rsidR="00C11F27" w:rsidRDefault="00C11F27" w:rsidP="00CA27D7">
      <w:pPr>
        <w:spacing w:after="0" w:line="240" w:lineRule="auto"/>
      </w:pPr>
      <w:r>
        <w:continuationSeparator/>
      </w:r>
    </w:p>
  </w:endnote>
  <w:endnote w:type="continuationNotice" w:id="1">
    <w:p w14:paraId="04285060" w14:textId="77777777" w:rsidR="00C11F27" w:rsidRDefault="00C11F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95316" w14:textId="77777777" w:rsidR="00C11F27" w:rsidRDefault="00C11F27" w:rsidP="00CA27D7">
      <w:pPr>
        <w:spacing w:after="0" w:line="240" w:lineRule="auto"/>
      </w:pPr>
      <w:r>
        <w:separator/>
      </w:r>
    </w:p>
  </w:footnote>
  <w:footnote w:type="continuationSeparator" w:id="0">
    <w:p w14:paraId="4277A5BA" w14:textId="77777777" w:rsidR="00C11F27" w:rsidRDefault="00C11F27" w:rsidP="00CA27D7">
      <w:pPr>
        <w:spacing w:after="0" w:line="240" w:lineRule="auto"/>
      </w:pPr>
      <w:r>
        <w:continuationSeparator/>
      </w:r>
    </w:p>
  </w:footnote>
  <w:footnote w:type="continuationNotice" w:id="1">
    <w:p w14:paraId="21566FE4" w14:textId="77777777" w:rsidR="00C11F27" w:rsidRDefault="00C11F2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344CC"/>
    <w:rsid w:val="000618DE"/>
    <w:rsid w:val="000F1027"/>
    <w:rsid w:val="00110EA6"/>
    <w:rsid w:val="002F4FDD"/>
    <w:rsid w:val="00354146"/>
    <w:rsid w:val="003A40D5"/>
    <w:rsid w:val="003D1EBA"/>
    <w:rsid w:val="003D3CBD"/>
    <w:rsid w:val="003D5C2E"/>
    <w:rsid w:val="0044443D"/>
    <w:rsid w:val="0044D314"/>
    <w:rsid w:val="004A18CA"/>
    <w:rsid w:val="004E1DBD"/>
    <w:rsid w:val="00533EA6"/>
    <w:rsid w:val="005B153B"/>
    <w:rsid w:val="00627F34"/>
    <w:rsid w:val="00640B7F"/>
    <w:rsid w:val="00650C75"/>
    <w:rsid w:val="00657296"/>
    <w:rsid w:val="006628CE"/>
    <w:rsid w:val="00686EE4"/>
    <w:rsid w:val="00696235"/>
    <w:rsid w:val="006E04AD"/>
    <w:rsid w:val="006F05BC"/>
    <w:rsid w:val="00721338"/>
    <w:rsid w:val="007730B3"/>
    <w:rsid w:val="00810A60"/>
    <w:rsid w:val="00A613EF"/>
    <w:rsid w:val="00AA4C24"/>
    <w:rsid w:val="00AB610C"/>
    <w:rsid w:val="00AD543F"/>
    <w:rsid w:val="00BA21BB"/>
    <w:rsid w:val="00BE3237"/>
    <w:rsid w:val="00C073C6"/>
    <w:rsid w:val="00C11F27"/>
    <w:rsid w:val="00C2F475"/>
    <w:rsid w:val="00C72AC1"/>
    <w:rsid w:val="00CA065C"/>
    <w:rsid w:val="00CA27D7"/>
    <w:rsid w:val="00CA57EE"/>
    <w:rsid w:val="00CC4ECA"/>
    <w:rsid w:val="00CE3EEC"/>
    <w:rsid w:val="00D7341B"/>
    <w:rsid w:val="00D94A52"/>
    <w:rsid w:val="00DC7FD7"/>
    <w:rsid w:val="00E00E53"/>
    <w:rsid w:val="00E751B5"/>
    <w:rsid w:val="00E86954"/>
    <w:rsid w:val="00EA5E6D"/>
    <w:rsid w:val="00F35EE7"/>
    <w:rsid w:val="00F52A31"/>
    <w:rsid w:val="04C764AE"/>
    <w:rsid w:val="04DC9B94"/>
    <w:rsid w:val="0A44E58B"/>
    <w:rsid w:val="0A6955F7"/>
    <w:rsid w:val="0DA0F6B9"/>
    <w:rsid w:val="0E8AF78F"/>
    <w:rsid w:val="0E8B6B60"/>
    <w:rsid w:val="0FB600B7"/>
    <w:rsid w:val="145FBBD9"/>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78B6C7E"/>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EBA"/>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751B5"/>
    <w:rPr>
      <w:color w:val="0563C1" w:themeColor="hyperlink"/>
      <w:u w:val="single"/>
    </w:rPr>
  </w:style>
  <w:style w:type="character" w:styleId="UnresolvedMention">
    <w:name w:val="Unresolved Mention"/>
    <w:basedOn w:val="DefaultParagraphFont"/>
    <w:uiPriority w:val="99"/>
    <w:semiHidden/>
    <w:unhideWhenUsed/>
    <w:rsid w:val="00E75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359477188">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we.mitre.org/data/definitions/400.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security.snyk.io/vuln/SNYK-RUBY-RACK-6274385" TargetMode="External"/><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ve.org/CVERecord?id=CVE-2024-26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2.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3.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GAURISH BHATIA</cp:lastModifiedBy>
  <cp:revision>16</cp:revision>
  <dcterms:created xsi:type="dcterms:W3CDTF">2024-04-14T16:55:00Z</dcterms:created>
  <dcterms:modified xsi:type="dcterms:W3CDTF">2024-04-14T17:56:00Z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