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E3237" w:rsidR="00BE3237" w:rsidP="00BA21BB" w:rsidRDefault="7B4BA388" w14:paraId="2535ADAB" w14:textId="7777777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3237" w:rsidR="7B4BA388" w:rsidP="00BA21BB" w:rsidRDefault="00BE3237" w14:paraId="2A040499" w14:textId="0D982396">
      <w:pPr>
        <w:jc w:val="both"/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354146">
        <w:rPr>
          <w:rFonts w:ascii="Century Gothic" w:hAnsi="Century Gothic"/>
          <w:color w:val="0070C0"/>
        </w:rPr>
        <w:t>Potential Path traversal</w:t>
      </w:r>
    </w:p>
    <w:tbl>
      <w:tblPr>
        <w:tblStyle w:val="TableGrid"/>
        <w:tblW w:w="9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Pr="00BE3237" w:rsidR="4EFA2131" w:rsidTr="6C0F4079" w14:paraId="259987A1" w14:textId="7777777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:rsidRPr="00BE3237" w:rsidR="4EFA2131" w:rsidP="00E751B5" w:rsidRDefault="4EFA2131" w14:paraId="5168774B" w14:textId="5D10EF16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:rsidRPr="00BE3237" w:rsidR="4EFA2131" w:rsidP="00E751B5" w:rsidRDefault="4EFA2131" w14:paraId="2A9E3D40" w14:textId="0FF00506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Pr="00BE3237" w:rsidR="4EFA2131" w:rsidP="00E751B5" w:rsidRDefault="4EFA2131" w14:paraId="13CFDC13" w14:textId="6CDE76B1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:rsidRPr="00BE3237" w:rsidR="4EFA2131" w:rsidP="00E751B5" w:rsidRDefault="4EFA2131" w14:paraId="0AD163FF" w14:textId="3766B6C2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Pr="00BE3237" w:rsidR="4EFA2131" w:rsidP="00E751B5" w:rsidRDefault="4EFA2131" w14:paraId="11A739B0" w14:textId="23670DE1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:rsidRPr="00BE3237" w:rsidR="4EFA2131" w:rsidP="00E751B5" w:rsidRDefault="4EFA2131" w14:paraId="7B188F1C" w14:textId="529160C4">
            <w:pPr>
              <w:spacing w:line="259" w:lineRule="auto"/>
              <w:jc w:val="center"/>
              <w:rPr>
                <w:rFonts w:ascii="Century Gothic" w:hAnsi="Century Gothic" w:eastAsia="Calibri Light" w:cs="Calibri Light"/>
                <w:color w:val="000000" w:themeColor="text1"/>
              </w:rPr>
            </w:pPr>
            <w:r w:rsidRPr="00BE3237">
              <w:rPr>
                <w:rFonts w:ascii="Century Gothic" w:hAnsi="Century Gothic" w:eastAsia="Calibri Light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Pr="00BE3237" w:rsidR="4EFA2131" w:rsidTr="6C0F4079" w14:paraId="2D4018AC" w14:textId="7777777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:rsidRPr="00533EA6" w:rsidR="4EFA2131" w:rsidP="00E751B5" w:rsidRDefault="00650C75" w14:paraId="7A0AE70A" w14:textId="649F6144">
            <w:pPr>
              <w:spacing w:line="259" w:lineRule="auto"/>
              <w:jc w:val="center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Gaurish Bhatia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:rsidRPr="00533EA6" w:rsidR="4EFA2131" w:rsidP="00E751B5" w:rsidRDefault="145FBBD9" w14:paraId="5D321C9C" w14:textId="23A14842">
            <w:pPr>
              <w:spacing w:line="259" w:lineRule="auto"/>
              <w:jc w:val="center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:rsidRPr="00533EA6" w:rsidR="4EFA2131" w:rsidP="00E751B5" w:rsidRDefault="00650C75" w14:paraId="604D3771" w14:textId="1F751F96">
            <w:pPr>
              <w:spacing w:line="259" w:lineRule="auto"/>
              <w:jc w:val="center"/>
              <w:rPr>
                <w:rFonts w:ascii="Century Gothic" w:hAnsi="Century Gothic" w:eastAsia="Century Gothic" w:cs="Century Gothic"/>
                <w:color w:val="0070C0"/>
                <w:sz w:val="18"/>
                <w:szCs w:val="18"/>
              </w:rPr>
            </w:pPr>
            <w:r>
              <w:rPr>
                <w:rFonts w:ascii="Century Gothic" w:hAnsi="Century Gothic" w:eastAsia="Century Gothic" w:cs="Century Gothic"/>
                <w:color w:val="0070C0"/>
                <w:sz w:val="18"/>
                <w:szCs w:val="18"/>
              </w:rPr>
              <w:t>SCR team member</w:t>
            </w:r>
          </w:p>
          <w:p w:rsidRPr="00533EA6" w:rsidR="4EFA2131" w:rsidP="00E751B5" w:rsidRDefault="4EFA2131" w14:paraId="548E61B0" w14:textId="70120EFC">
            <w:pPr>
              <w:spacing w:line="259" w:lineRule="auto"/>
              <w:jc w:val="center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:rsidRPr="00533EA6" w:rsidR="4EFA2131" w:rsidP="00E751B5" w:rsidRDefault="00BE3237" w14:paraId="06B080F4" w14:textId="6848CBE6">
            <w:pPr>
              <w:spacing w:line="259" w:lineRule="auto"/>
              <w:jc w:val="center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Pr="00533EA6" w:rsidR="4EFA2131" w:rsidP="00E751B5" w:rsidRDefault="0065133A" w14:paraId="05A11C1B" w14:textId="01E085AA">
            <w:pPr>
              <w:spacing w:line="259" w:lineRule="auto"/>
              <w:jc w:val="center"/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</w:pPr>
            <w:r w:rsidRPr="6C0F4079" w:rsidR="225F9340">
              <w:rPr>
                <w:rFonts w:ascii="Century Gothic" w:hAnsi="Century Gothic" w:eastAsia="Segoe UI" w:cs="Segoe UI"/>
                <w:color w:val="0070C0"/>
                <w:sz w:val="18"/>
                <w:szCs w:val="18"/>
              </w:rPr>
              <w:t>Payas Paul and Jaspriya Kaur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:rsidRPr="00BE3237" w:rsidR="4EFA2131" w:rsidP="00E751B5" w:rsidRDefault="4EFA2131" w14:paraId="09BF272D" w14:textId="14BA758C">
            <w:pPr>
              <w:spacing w:line="259" w:lineRule="auto"/>
              <w:jc w:val="center"/>
              <w:rPr>
                <w:rFonts w:ascii="Century Gothic" w:hAnsi="Century Gothic" w:eastAsia="Segoe UI" w:cs="Segoe UI"/>
                <w:color w:val="000000" w:themeColor="text1"/>
                <w:sz w:val="18"/>
                <w:szCs w:val="18"/>
              </w:rPr>
            </w:pPr>
          </w:p>
        </w:tc>
      </w:tr>
    </w:tbl>
    <w:p w:rsidRPr="00BE3237" w:rsidR="6009D5C6" w:rsidP="00E751B5" w:rsidRDefault="6009D5C6" w14:paraId="26CD8E7F" w14:textId="1B9359F5">
      <w:pPr>
        <w:jc w:val="center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Pr="00BE3237" w:rsidR="6009D5C6" w:rsidTr="154112F7" w14:paraId="71751991" w14:textId="77777777">
        <w:trPr>
          <w:trHeight w:val="300"/>
          <w:jc w:val="center"/>
        </w:trPr>
        <w:tc>
          <w:tcPr>
            <w:tcW w:w="3150" w:type="dxa"/>
          </w:tcPr>
          <w:p w:rsidRPr="00BE3237" w:rsidR="41616493" w:rsidP="00E751B5" w:rsidRDefault="41616493" w14:paraId="73335A23" w14:textId="44B7F5B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Pr="00BE3237" w:rsidR="6009D5C6" w:rsidTr="154112F7" w14:paraId="13F3528C" w14:textId="77777777">
        <w:trPr>
          <w:trHeight w:val="300"/>
          <w:jc w:val="center"/>
        </w:trPr>
        <w:tc>
          <w:tcPr>
            <w:tcW w:w="3150" w:type="dxa"/>
          </w:tcPr>
          <w:p w:rsidRPr="00BE3237" w:rsidR="41616493" w:rsidP="00E751B5" w:rsidRDefault="7CF63D1F" w14:paraId="7C82835A" w14:textId="3668C2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:rsidRPr="00BE3237" w:rsidR="45D8E078" w:rsidP="00BA21BB" w:rsidRDefault="45D8E078" w14:paraId="34D95126" w14:textId="78309FBB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:rsidRPr="00533EA6" w:rsidR="48BD0A10" w:rsidP="00BA21BB" w:rsidRDefault="00DC7FD7" w14:paraId="605C6082" w14:textId="05104AFF">
      <w:pPr>
        <w:jc w:val="both"/>
        <w:rPr>
          <w:rFonts w:ascii="Century Gothic" w:hAnsi="Century Gothic"/>
          <w:color w:val="0070C0"/>
        </w:rPr>
      </w:pPr>
      <w:r w:rsidRPr="6C0F4079" w:rsidR="00DC7FD7">
        <w:rPr>
          <w:rFonts w:ascii="Century Gothic" w:hAnsi="Century Gothic"/>
          <w:color w:val="0070C0"/>
        </w:rPr>
        <w:t xml:space="preserve">The path traversal or directory traversal vulnerability is a flaw, which could lead to potential attacks when the application uses direct file path in the </w:t>
      </w:r>
      <w:r w:rsidRPr="6C0F4079" w:rsidR="00DC7FD7">
        <w:rPr>
          <w:rFonts w:ascii="Century Gothic" w:hAnsi="Century Gothic"/>
          <w:color w:val="0070C0"/>
        </w:rPr>
        <w:t>application,</w:t>
      </w:r>
      <w:r w:rsidRPr="6C0F4079" w:rsidR="00DC7FD7">
        <w:rPr>
          <w:rFonts w:ascii="Century Gothic" w:hAnsi="Century Gothic"/>
          <w:color w:val="0070C0"/>
        </w:rPr>
        <w:t xml:space="preserve"> which could be manipulated by the user, which could lead to unauthorized access to the</w:t>
      </w:r>
      <w:r w:rsidRPr="6C0F4079" w:rsidR="00F52A31">
        <w:rPr>
          <w:rFonts w:ascii="Century Gothic" w:hAnsi="Century Gothic"/>
          <w:color w:val="0070C0"/>
        </w:rPr>
        <w:t xml:space="preserve"> directories or files </w:t>
      </w:r>
      <w:r w:rsidRPr="6C0F4079" w:rsidR="00F52A31">
        <w:rPr>
          <w:rFonts w:ascii="Century Gothic" w:hAnsi="Century Gothic"/>
          <w:color w:val="0070C0"/>
        </w:rPr>
        <w:t>located</w:t>
      </w:r>
      <w:r w:rsidRPr="6C0F4079" w:rsidR="00F52A31">
        <w:rPr>
          <w:rFonts w:ascii="Century Gothic" w:hAnsi="Century Gothic"/>
          <w:color w:val="0070C0"/>
        </w:rPr>
        <w:t>, which are having sensitive information.</w:t>
      </w:r>
      <w:r w:rsidRPr="6C0F4079" w:rsidR="00DC7FD7">
        <w:rPr>
          <w:rFonts w:ascii="Century Gothic" w:hAnsi="Century Gothic"/>
          <w:color w:val="0070C0"/>
        </w:rPr>
        <w:t xml:space="preserve"> </w:t>
      </w:r>
    </w:p>
    <w:p w:rsidRPr="00BE3237" w:rsidR="2953A169" w:rsidP="003A40D5" w:rsidRDefault="2953A169" w14:paraId="50911984" w14:textId="0DC59DA4" w14:noSpellErr="1">
      <w:pPr>
        <w:rPr>
          <w:rFonts w:ascii="Century Gothic" w:hAnsi="Century Gothic"/>
        </w:rPr>
      </w:pPr>
      <w:r w:rsidRPr="6C0F4079" w:rsidR="2953A169">
        <w:rPr>
          <w:rFonts w:ascii="Century Gothic" w:hAnsi="Century Gothic"/>
          <w:b w:val="1"/>
          <w:bCs w:val="1"/>
          <w:sz w:val="24"/>
          <w:szCs w:val="24"/>
        </w:rPr>
        <w:t>Risk Rating</w:t>
      </w:r>
      <w:r>
        <w:br/>
      </w:r>
      <w:r w:rsidRPr="6C0F4079" w:rsidR="2953A169">
        <w:rPr>
          <w:rFonts w:ascii="Century Gothic" w:hAnsi="Century Gothic"/>
        </w:rPr>
        <w:t>Impact:</w:t>
      </w:r>
      <w:r w:rsidRPr="6C0F4079" w:rsidR="00F52A31">
        <w:rPr>
          <w:rFonts w:ascii="Century Gothic" w:hAnsi="Century Gothic"/>
        </w:rPr>
        <w:t xml:space="preserve"> </w:t>
      </w:r>
      <w:r w:rsidRPr="6C0F4079" w:rsidR="00F52A31">
        <w:rPr>
          <w:rFonts w:ascii="Century Gothic" w:hAnsi="Century Gothic"/>
          <w:b w:val="1"/>
          <w:bCs w:val="1"/>
          <w:color w:val="4472C4" w:themeColor="accent1" w:themeTint="FF" w:themeShade="FF"/>
          <w:u w:val="single"/>
        </w:rPr>
        <w:t>Significant</w:t>
      </w:r>
      <w:r>
        <w:br/>
      </w:r>
      <w:r w:rsidRPr="6C0F4079" w:rsidR="40E462CF">
        <w:rPr>
          <w:rFonts w:ascii="Century Gothic" w:hAnsi="Century Gothic"/>
        </w:rPr>
        <w:t xml:space="preserve">Likelihood: </w:t>
      </w:r>
      <w:r w:rsidRPr="6C0F4079" w:rsidR="00F52A31">
        <w:rPr>
          <w:rFonts w:ascii="Century Gothic" w:hAnsi="Century Gothic"/>
          <w:b w:val="1"/>
          <w:bCs w:val="1"/>
          <w:color w:val="4472C4" w:themeColor="accent1" w:themeTint="FF" w:themeShade="FF"/>
          <w:u w:val="single"/>
        </w:rPr>
        <w:t>Moderate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Pr="00BE3237" w:rsidR="6009D5C6" w:rsidTr="6C0F4079" w14:paraId="59F88E79" w14:textId="77777777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:rsidRPr="00BE3237" w:rsidR="6009D5C6" w:rsidP="00BA21BB" w:rsidRDefault="6009D5C6" w14:paraId="0A1BA377" w14:textId="1814EB91">
            <w:pPr>
              <w:spacing w:line="259" w:lineRule="auto"/>
              <w:jc w:val="both"/>
              <w:rPr>
                <w:rFonts w:ascii="Century Gothic" w:hAnsi="Century Gothic" w:eastAsia="Calibri" w:cs="Calibri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lang w:val="en-AU"/>
              </w:rPr>
              <w:t>Impact values</w:t>
            </w:r>
          </w:p>
        </w:tc>
      </w:tr>
      <w:tr w:rsidRPr="00BE3237" w:rsidR="6009D5C6" w:rsidTr="6C0F4079" w14:paraId="3924D0CB" w14:textId="77777777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:rsidRPr="00BE3237" w:rsidR="6009D5C6" w:rsidP="00BA21BB" w:rsidRDefault="6009D5C6" w14:paraId="068DFE44" w14:textId="083D6C6E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:rsidRPr="00BE3237" w:rsidR="6009D5C6" w:rsidP="00BA21BB" w:rsidRDefault="6009D5C6" w14:paraId="7BBC778C" w14:textId="1B84B4D4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:rsidRPr="00BE3237" w:rsidR="6009D5C6" w:rsidP="00BA21BB" w:rsidRDefault="6009D5C6" w14:paraId="06DD3453" w14:textId="483E45C2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:rsidRPr="00BE3237" w:rsidR="6009D5C6" w:rsidP="00BA21BB" w:rsidRDefault="6009D5C6" w14:paraId="6E3A0B1D" w14:textId="31A73DA9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:rsidRPr="00BE3237" w:rsidR="6009D5C6" w:rsidP="00BA21BB" w:rsidRDefault="6009D5C6" w14:paraId="6DABEA98" w14:textId="1246DC17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Pr="00BE3237" w:rsidR="6009D5C6" w:rsidTr="6C0F4079" w14:paraId="31C095A2" w14:textId="7777777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00BA21BB" w:rsidRDefault="6009D5C6" w14:paraId="41E60F7E" w14:textId="689C59D0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00BA21BB" w:rsidRDefault="6009D5C6" w14:paraId="1135681A" w14:textId="529300AA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00BA21BB" w:rsidRDefault="6009D5C6" w14:paraId="54CBCCCD" w14:textId="68EF6A38" w14:noSpellErr="1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6C0F4079" w:rsidR="44616B2C">
              <w:rPr>
                <w:rFonts w:ascii="Century Gothic" w:hAnsi="Century Gothic" w:eastAsia="Calibri" w:cs="Calibri"/>
                <w:sz w:val="20"/>
                <w:szCs w:val="20"/>
                <w:highlight w:val="yellow"/>
                <w:lang w:val="en-AU"/>
              </w:rPr>
              <w:t>Risk that holds enough impact to be somewhat of a threat. Will cause damage that can impede regular activity but will be able to run normally</w:t>
            </w:r>
            <w:r w:rsidRPr="6C0F4079" w:rsidR="44616B2C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00BA21BB" w:rsidRDefault="6009D5C6" w14:paraId="0757C7A1" w14:textId="3A02789D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00BA21BB" w:rsidRDefault="6009D5C6" w14:paraId="1D674ADC" w14:textId="178667F7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:rsidRPr="00BE3237" w:rsidR="6009D5C6" w:rsidP="00BA21BB" w:rsidRDefault="6009D5C6" w14:paraId="5AD1EB83" w14:textId="52EB6AF0">
      <w:pPr>
        <w:jc w:val="both"/>
        <w:rPr>
          <w:rFonts w:ascii="Century Gothic" w:hAnsi="Century Gothic" w:eastAsia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Pr="00BE3237" w:rsidR="6009D5C6" w:rsidTr="6C0F4079" w14:paraId="20F5C51D" w14:textId="77777777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:rsidRPr="00BE3237" w:rsidR="6009D5C6" w:rsidP="00BA21BB" w:rsidRDefault="6009D5C6" w14:paraId="4AC0BDA1" w14:textId="39CAFD64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Pr="00BE3237" w:rsidR="6009D5C6" w:rsidTr="6C0F4079" w14:paraId="6DD646EF" w14:textId="77777777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:rsidRPr="00BE3237" w:rsidR="6009D5C6" w:rsidP="00BA21BB" w:rsidRDefault="6009D5C6" w14:paraId="3198CEC2" w14:textId="0238FDB5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:rsidRPr="00BE3237" w:rsidR="6009D5C6" w:rsidP="00BA21BB" w:rsidRDefault="6009D5C6" w14:paraId="3CCC0FC6" w14:textId="4514BF24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:rsidRPr="00BE3237" w:rsidR="6009D5C6" w:rsidP="00BA21BB" w:rsidRDefault="6009D5C6" w14:paraId="08A163A9" w14:textId="33115B3B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:rsidRPr="00BE3237" w:rsidR="6009D5C6" w:rsidP="00BA21BB" w:rsidRDefault="6009D5C6" w14:paraId="67E6575C" w14:textId="6084CC28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:rsidRPr="00BE3237" w:rsidR="6009D5C6" w:rsidP="00BA21BB" w:rsidRDefault="6009D5C6" w14:paraId="03524C87" w14:textId="1CFAD39E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Pr="00BE3237" w:rsidR="6009D5C6" w:rsidTr="6C0F4079" w14:paraId="7E454566" w14:textId="7777777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00BA21BB" w:rsidRDefault="6009D5C6" w14:paraId="3CA8DFFB" w14:textId="1EACBEF4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 xml:space="preserve">Event may occur and/or if it did, it happens </w:t>
            </w: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lastRenderedPageBreak/>
              <w:t>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00BA21BB" w:rsidRDefault="6009D5C6" w14:paraId="7D021DE4" w14:textId="3581CF85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lastRenderedPageBreak/>
              <w:t xml:space="preserve">Event could occur occasionally and/or could </w:t>
            </w: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lastRenderedPageBreak/>
              <w:t>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6C0F4079" w:rsidRDefault="6009D5C6" w14:paraId="2ACA7D49" w14:textId="00DEA8EA" w14:noSpellErr="1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  <w:highlight w:val="yellow"/>
              </w:rPr>
            </w:pPr>
            <w:r w:rsidRPr="6C0F4079" w:rsidR="44616B2C">
              <w:rPr>
                <w:rFonts w:ascii="Century Gothic" w:hAnsi="Century Gothic" w:eastAsia="Calibri" w:cs="Calibri"/>
                <w:sz w:val="20"/>
                <w:szCs w:val="20"/>
                <w:highlight w:val="yellow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00BA21BB" w:rsidRDefault="6009D5C6" w14:paraId="42FECC20" w14:textId="3DC160E1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Pr="00BE3237" w:rsidR="6009D5C6" w:rsidP="00BA21BB" w:rsidRDefault="6009D5C6" w14:paraId="71EBB1DD" w14:textId="621A3EA4">
            <w:pPr>
              <w:spacing w:line="259" w:lineRule="auto"/>
              <w:jc w:val="both"/>
              <w:rPr>
                <w:rFonts w:ascii="Century Gothic" w:hAnsi="Century Gothic" w:eastAsia="Calibri" w:cs="Calibri"/>
                <w:sz w:val="20"/>
                <w:szCs w:val="20"/>
              </w:rPr>
            </w:pPr>
            <w:r w:rsidRPr="00BE3237">
              <w:rPr>
                <w:rFonts w:ascii="Century Gothic" w:hAnsi="Century Gothic" w:eastAsia="Calibri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:rsidRPr="00BE3237" w:rsidR="6009D5C6" w:rsidP="00BA21BB" w:rsidRDefault="6009D5C6" w14:paraId="3826AE37" w14:textId="3009E2ED">
      <w:pPr>
        <w:jc w:val="both"/>
        <w:rPr>
          <w:rFonts w:ascii="Century Gothic" w:hAnsi="Century Gothic" w:eastAsia="Calibri" w:cs="Calibri"/>
          <w:color w:val="000000" w:themeColor="text1"/>
        </w:rPr>
      </w:pPr>
    </w:p>
    <w:p w:rsidRPr="00BE3237" w:rsidR="589BB971" w:rsidP="00BA21BB" w:rsidRDefault="589BB971" w14:paraId="5E37D020" w14:textId="55A1ED07"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Business Impact</w:t>
      </w:r>
    </w:p>
    <w:p w:rsidRPr="002F4FDD" w:rsidR="002F4FDD" w:rsidP="00BA21BB" w:rsidRDefault="002F4FDD" w14:paraId="0828EC74" w14:textId="1D484AD2">
      <w:pPr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  <w:r w:rsidRPr="002F4FDD">
        <w:rPr>
          <w:rFonts w:ascii="Century Gothic" w:hAnsi="Century Gothic" w:eastAsia="Calibri" w:cs="Calibri"/>
          <w:color w:val="0070C0"/>
          <w:sz w:val="24"/>
          <w:szCs w:val="24"/>
        </w:rPr>
        <w:t xml:space="preserve">Using direct path </w:t>
      </w:r>
      <w:r w:rsidR="00CA57EE">
        <w:rPr>
          <w:rFonts w:ascii="Century Gothic" w:hAnsi="Century Gothic" w:eastAsia="Calibri" w:cs="Calibri"/>
          <w:color w:val="0070C0"/>
          <w:sz w:val="24"/>
          <w:szCs w:val="24"/>
        </w:rPr>
        <w:t xml:space="preserve">to retrieve a file without sanitization of the path, could potentially lead an attacker to get access to the </w:t>
      </w:r>
      <w:r w:rsidR="00C72AC1">
        <w:rPr>
          <w:rFonts w:ascii="Century Gothic" w:hAnsi="Century Gothic" w:eastAsia="Calibri" w:cs="Calibri"/>
          <w:color w:val="0070C0"/>
          <w:sz w:val="24"/>
          <w:szCs w:val="24"/>
        </w:rPr>
        <w:t>file structure by the means of which the files are stored in the server, it could also lead to unauthorized access to the files by the attacker</w:t>
      </w:r>
      <w:r w:rsidR="00810A60">
        <w:rPr>
          <w:rFonts w:ascii="Century Gothic" w:hAnsi="Century Gothic" w:eastAsia="Calibri" w:cs="Calibri"/>
          <w:color w:val="0070C0"/>
          <w:sz w:val="24"/>
          <w:szCs w:val="24"/>
        </w:rPr>
        <w:t>, this could lead to disclosure of sensitive information.</w:t>
      </w:r>
    </w:p>
    <w:p w:rsidRPr="00BE3237" w:rsidR="5994D52E" w:rsidP="00BA21BB" w:rsidRDefault="5994D52E" w14:paraId="7253CF2E" w14:textId="0326F245"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Affected Assets</w:t>
      </w:r>
    </w:p>
    <w:p w:rsidRPr="00810A60" w:rsidR="003D1EBA" w:rsidP="003D1EBA" w:rsidRDefault="003D1EBA" w14:paraId="1D76FBA0" w14:textId="77777777">
      <w:pPr>
        <w:jc w:val="both"/>
        <w:rPr>
          <w:rFonts w:ascii="Century Gothic" w:hAnsi="Century Gothic" w:eastAsia="Calibri" w:cs="Calibri"/>
          <w:color w:val="0070C0"/>
        </w:rPr>
      </w:pPr>
      <w:r w:rsidRPr="00810A60">
        <w:rPr>
          <w:rFonts w:ascii="Century Gothic" w:hAnsi="Century Gothic" w:eastAsia="Calibri" w:cs="Calibri"/>
          <w:color w:val="0070C0"/>
        </w:rPr>
        <w:t>doubtfire-deploy</w:t>
      </w:r>
      <w:proofErr w:type="gramStart"/>
      <w:r w:rsidRPr="00810A60">
        <w:rPr>
          <w:rFonts w:ascii="Century Gothic" w:hAnsi="Century Gothic" w:eastAsia="Calibri" w:cs="Calibri"/>
          <w:color w:val="0070C0"/>
        </w:rPr>
        <w:t>\doubtfire-api\api\submission\portfolio_evidence_api.rb</w:t>
      </w:r>
      <w:proofErr w:type="gramEnd"/>
    </w:p>
    <w:p w:rsidRPr="00810A60" w:rsidR="003D1EBA" w:rsidP="003D1EBA" w:rsidRDefault="003D1EBA" w14:paraId="4192EC07" w14:textId="591843C1">
      <w:pPr>
        <w:jc w:val="both"/>
        <w:rPr>
          <w:rFonts w:ascii="Century Gothic" w:hAnsi="Century Gothic" w:eastAsia="Calibri" w:cs="Calibri"/>
          <w:color w:val="0070C0"/>
        </w:rPr>
      </w:pPr>
      <w:r w:rsidRPr="00810A60">
        <w:rPr>
          <w:rFonts w:ascii="Century Gothic" w:hAnsi="Century Gothic" w:eastAsia="Calibri" w:cs="Calibri"/>
          <w:color w:val="0070C0"/>
        </w:rPr>
        <w:t>line: 113</w:t>
      </w:r>
    </w:p>
    <w:p w:rsidR="5994D52E" w:rsidP="00BA21BB" w:rsidRDefault="5994D52E" w14:paraId="69B7DB13" w14:textId="7D947FB1"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Evidence</w:t>
      </w:r>
    </w:p>
    <w:p w:rsidR="33AA5DC2" w:rsidP="00BA21BB" w:rsidRDefault="00F52A31" w14:paraId="35B4C88B" w14:textId="6A0B63AA">
      <w:pPr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  <w:r w:rsidRPr="6C0F4079" w:rsidR="00F52A31">
        <w:rPr>
          <w:rFonts w:ascii="Century Gothic" w:hAnsi="Century Gothic" w:eastAsia="Calibri" w:cs="Calibri"/>
          <w:color w:val="0070C0"/>
          <w:sz w:val="24"/>
          <w:szCs w:val="24"/>
        </w:rPr>
        <w:t xml:space="preserve">The </w:t>
      </w:r>
      <w:r w:rsidRPr="6C0F4079" w:rsidR="006E04AD">
        <w:rPr>
          <w:rFonts w:ascii="Century Gothic" w:hAnsi="Century Gothic" w:eastAsia="Calibri" w:cs="Calibri"/>
          <w:color w:val="0070C0"/>
          <w:sz w:val="24"/>
          <w:szCs w:val="24"/>
        </w:rPr>
        <w:t xml:space="preserve">following screenshot shows the line of the vulnerable </w:t>
      </w:r>
      <w:r w:rsidRPr="6C0F4079" w:rsidR="006E04AD">
        <w:rPr>
          <w:rFonts w:ascii="Century Gothic" w:hAnsi="Century Gothic" w:eastAsia="Calibri" w:cs="Calibri"/>
          <w:color w:val="0070C0"/>
          <w:sz w:val="24"/>
          <w:szCs w:val="24"/>
        </w:rPr>
        <w:t>code:</w:t>
      </w:r>
    </w:p>
    <w:p w:rsidR="00110EA6" w:rsidP="00BA21BB" w:rsidRDefault="006E04AD" w14:paraId="0FEAF61D" w14:noSpellErr="1" w14:textId="29973247">
      <w:pPr>
        <w:jc w:val="both"/>
        <w:rPr/>
      </w:pPr>
      <w:r w:rsidR="6C114901">
        <w:drawing>
          <wp:anchor distT="0" distB="0" distL="114300" distR="114300" simplePos="0" relativeHeight="251658240" behindDoc="0" locked="0" layoutInCell="1" allowOverlap="1" wp14:editId="27DD92F9" wp14:anchorId="03B42A1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30730" cy="4083050"/>
            <wp:effectExtent l="0" t="0" r="0" b="0"/>
            <wp:wrapSquare wrapText="bothSides"/>
            <wp:docPr id="1813072129" name="Picture 1" descr="A screen 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950d8c60c1b4a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073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810A60" w:rsidR="00810A60" w:rsidP="00BA21BB" w:rsidRDefault="00810A60" w14:paraId="13B1F3ED" w14:textId="77777777">
      <w:pPr>
        <w:jc w:val="both"/>
        <w:rPr>
          <w:rFonts w:ascii="Century Gothic" w:hAnsi="Century Gothic" w:eastAsia="Calibri" w:cs="Calibri"/>
          <w:b/>
          <w:bCs/>
          <w:color w:val="0070C0"/>
        </w:rPr>
      </w:pPr>
    </w:p>
    <w:p w:rsidRPr="00810A60" w:rsidR="6009D5C6" w:rsidP="00BA21BB" w:rsidRDefault="006E04AD" w14:paraId="6ED60111" w14:textId="2CE79414">
      <w:pPr>
        <w:jc w:val="both"/>
        <w:rPr>
          <w:rFonts w:ascii="Century Gothic" w:hAnsi="Century Gothic" w:eastAsia="Calibri" w:cs="Calibri"/>
          <w:color w:val="0070C0"/>
        </w:rPr>
      </w:pPr>
      <w:r w:rsidRPr="00810A60">
        <w:rPr>
          <w:rFonts w:ascii="Century Gothic" w:hAnsi="Century Gothic" w:eastAsia="Calibri" w:cs="Calibri"/>
          <w:color w:val="0070C0"/>
        </w:rPr>
        <w:t xml:space="preserve">As it could be seen on line 113, in which the </w:t>
      </w:r>
      <w:proofErr w:type="spellStart"/>
      <w:r w:rsidRPr="00810A60">
        <w:rPr>
          <w:rFonts w:ascii="Century Gothic" w:hAnsi="Century Gothic" w:eastAsia="Calibri" w:cs="Calibri"/>
          <w:color w:val="0070C0"/>
        </w:rPr>
        <w:t>File.read</w:t>
      </w:r>
      <w:proofErr w:type="spellEnd"/>
      <w:r w:rsidRPr="00810A60">
        <w:rPr>
          <w:rFonts w:ascii="Century Gothic" w:hAnsi="Century Gothic" w:eastAsia="Calibri" w:cs="Calibri"/>
          <w:color w:val="0070C0"/>
        </w:rPr>
        <w:t xml:space="preserve"> function directly uses the </w:t>
      </w:r>
      <w:proofErr w:type="spellStart"/>
      <w:r w:rsidRPr="00810A60">
        <w:rPr>
          <w:rFonts w:ascii="Century Gothic" w:hAnsi="Century Gothic" w:eastAsia="Calibri" w:cs="Calibri"/>
          <w:color w:val="0070C0"/>
        </w:rPr>
        <w:t>evidence_loc</w:t>
      </w:r>
      <w:proofErr w:type="spellEnd"/>
      <w:r w:rsidRPr="00810A60">
        <w:rPr>
          <w:rFonts w:ascii="Century Gothic" w:hAnsi="Century Gothic" w:eastAsia="Calibri" w:cs="Calibri"/>
          <w:color w:val="0070C0"/>
        </w:rPr>
        <w:t xml:space="preserve">, which is the location of the file for the </w:t>
      </w:r>
      <w:r w:rsidRPr="00810A60" w:rsidR="004E1DBD">
        <w:rPr>
          <w:rFonts w:ascii="Century Gothic" w:hAnsi="Century Gothic" w:eastAsia="Calibri" w:cs="Calibri"/>
          <w:color w:val="0070C0"/>
        </w:rPr>
        <w:t>portfolio submission</w:t>
      </w:r>
      <w:r w:rsidRPr="00810A60" w:rsidR="00110EA6">
        <w:rPr>
          <w:rFonts w:ascii="Century Gothic" w:hAnsi="Century Gothic" w:eastAsia="Calibri" w:cs="Calibri"/>
          <w:color w:val="0070C0"/>
        </w:rPr>
        <w:t xml:space="preserve"> as per the given case, it could be seen that the </w:t>
      </w:r>
      <w:proofErr w:type="spellStart"/>
      <w:r w:rsidRPr="00810A60" w:rsidR="00BA21BB">
        <w:rPr>
          <w:rFonts w:ascii="Century Gothic" w:hAnsi="Century Gothic" w:eastAsia="Calibri" w:cs="Calibri"/>
          <w:color w:val="0070C0"/>
        </w:rPr>
        <w:t>evidence_loc</w:t>
      </w:r>
      <w:proofErr w:type="spellEnd"/>
      <w:r w:rsidRPr="00810A60" w:rsidR="00BA21BB">
        <w:rPr>
          <w:rFonts w:ascii="Century Gothic" w:hAnsi="Century Gothic" w:eastAsia="Calibri" w:cs="Calibri"/>
          <w:color w:val="0070C0"/>
        </w:rPr>
        <w:t xml:space="preserve"> directly stores the file path through line 90, which could be a potential threat leading to a path traversal attack.</w:t>
      </w:r>
      <w:r w:rsidRPr="00810A60" w:rsidR="00A613EF">
        <w:rPr>
          <w:rFonts w:ascii="Century Gothic" w:hAnsi="Century Gothic" w:eastAsia="Calibri" w:cs="Calibri"/>
          <w:color w:val="0070C0"/>
        </w:rPr>
        <w:t xml:space="preserve"> Further, if the </w:t>
      </w:r>
      <w:proofErr w:type="spellStart"/>
      <w:r w:rsidRPr="00810A60" w:rsidR="00AB610C">
        <w:rPr>
          <w:rFonts w:ascii="Century Gothic" w:hAnsi="Century Gothic" w:eastAsia="Calibri" w:cs="Calibri"/>
          <w:color w:val="0070C0"/>
        </w:rPr>
        <w:t>evidence_loc</w:t>
      </w:r>
      <w:proofErr w:type="spellEnd"/>
      <w:r w:rsidRPr="00810A60" w:rsidR="00AB610C">
        <w:rPr>
          <w:rFonts w:ascii="Century Gothic" w:hAnsi="Century Gothic" w:eastAsia="Calibri" w:cs="Calibri"/>
          <w:color w:val="0070C0"/>
        </w:rPr>
        <w:t xml:space="preserve"> is nil, it could open the file directory structure to the user as it uses the line </w:t>
      </w:r>
      <w:proofErr w:type="spellStart"/>
      <w:proofErr w:type="gramStart"/>
      <w:r w:rsidRPr="00810A60" w:rsidR="00AB610C">
        <w:rPr>
          <w:rFonts w:ascii="Century Gothic" w:hAnsi="Century Gothic" w:eastAsia="Calibri" w:cs="Calibri"/>
          <w:color w:val="0070C0"/>
        </w:rPr>
        <w:t>Rails.root.join</w:t>
      </w:r>
      <w:proofErr w:type="spellEnd"/>
      <w:proofErr w:type="gramEnd"/>
      <w:r w:rsidRPr="00810A60" w:rsidR="00AB610C">
        <w:rPr>
          <w:rFonts w:ascii="Century Gothic" w:hAnsi="Century Gothic" w:eastAsia="Calibri" w:cs="Calibri"/>
          <w:color w:val="0070C0"/>
        </w:rPr>
        <w:t>('public', 'resources', 'FileNotFound.pdf')</w:t>
      </w:r>
      <w:r w:rsidRPr="00810A60" w:rsidR="00810A60">
        <w:rPr>
          <w:rFonts w:ascii="Century Gothic" w:hAnsi="Century Gothic" w:eastAsia="Calibri" w:cs="Calibri"/>
          <w:color w:val="0070C0"/>
        </w:rPr>
        <w:t>.</w:t>
      </w:r>
    </w:p>
    <w:p w:rsidR="5994D52E" w:rsidP="00BA21BB" w:rsidRDefault="5994D52E" w14:paraId="13995464" w14:textId="6AD46832"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Remediation Advice</w:t>
      </w:r>
    </w:p>
    <w:p w:rsidR="1E172337" w:rsidP="6C0F4079" w:rsidRDefault="1E172337" w14:paraId="4258A662" w14:textId="3C45D63C">
      <w:pPr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  <w:r w:rsidRPr="6C0F4079" w:rsidR="4D7E372D">
        <w:rPr>
          <w:rFonts w:ascii="Century Gothic" w:hAnsi="Century Gothic" w:eastAsia="Calibri" w:cs="Calibri"/>
          <w:color w:val="0070C0"/>
          <w:sz w:val="24"/>
          <w:szCs w:val="24"/>
        </w:rPr>
        <w:t>Specifically,</w:t>
      </w:r>
      <w:r w:rsidRPr="6C0F4079" w:rsidR="45218EDA">
        <w:rPr>
          <w:rFonts w:ascii="Century Gothic" w:hAnsi="Century Gothic" w:eastAsia="Calibri" w:cs="Calibri"/>
          <w:color w:val="0070C0"/>
          <w:sz w:val="24"/>
          <w:szCs w:val="24"/>
        </w:rPr>
        <w:t xml:space="preserve"> the following remedial methodologies could be used to </w:t>
      </w:r>
      <w:r w:rsidRPr="6C0F4079" w:rsidR="469402BF">
        <w:rPr>
          <w:rFonts w:ascii="Century Gothic" w:hAnsi="Century Gothic" w:eastAsia="Calibri" w:cs="Calibri"/>
          <w:color w:val="0070C0"/>
          <w:sz w:val="24"/>
          <w:szCs w:val="24"/>
        </w:rPr>
        <w:t>mitigate this vulnerability:</w:t>
      </w:r>
    </w:p>
    <w:p w:rsidR="1E172337" w:rsidP="6C0F4079" w:rsidRDefault="1E172337" w14:paraId="323A8751" w14:textId="3B8515A5">
      <w:pPr>
        <w:pStyle w:val="ListParagraph"/>
        <w:numPr>
          <w:ilvl w:val="0"/>
          <w:numId w:val="9"/>
        </w:numPr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  <w:r w:rsidRPr="6C0F4079" w:rsidR="79738B54">
        <w:rPr>
          <w:rFonts w:ascii="Century Gothic" w:hAnsi="Century Gothic" w:eastAsia="Calibri" w:cs="Calibri"/>
          <w:color w:val="0070C0"/>
          <w:sz w:val="24"/>
          <w:szCs w:val="24"/>
        </w:rPr>
        <w:t>A base directory could be defined, where files could be stored and could be accessed.</w:t>
      </w:r>
      <w:r w:rsidRPr="6C0F4079" w:rsidR="0F4F4B04">
        <w:rPr>
          <w:rFonts w:ascii="Century Gothic" w:hAnsi="Century Gothic" w:eastAsia="Calibri" w:cs="Calibri"/>
          <w:color w:val="0070C0"/>
          <w:sz w:val="24"/>
          <w:szCs w:val="24"/>
        </w:rPr>
        <w:t xml:space="preserve"> For </w:t>
      </w:r>
      <w:r w:rsidRPr="6C0F4079" w:rsidR="0F4F4B04">
        <w:rPr>
          <w:rFonts w:ascii="Century Gothic" w:hAnsi="Century Gothic" w:eastAsia="Calibri" w:cs="Calibri"/>
          <w:color w:val="0070C0"/>
          <w:sz w:val="24"/>
          <w:szCs w:val="24"/>
        </w:rPr>
        <w:t>an instance</w:t>
      </w:r>
      <w:r w:rsidRPr="6C0F4079" w:rsidR="0F4F4B04">
        <w:rPr>
          <w:rFonts w:ascii="Century Gothic" w:hAnsi="Century Gothic" w:eastAsia="Calibri" w:cs="Calibri"/>
          <w:color w:val="0070C0"/>
          <w:sz w:val="24"/>
          <w:szCs w:val="24"/>
        </w:rPr>
        <w:t xml:space="preserve">, all the files that are to be accessed could be </w:t>
      </w:r>
      <w:r w:rsidRPr="6C0F4079" w:rsidR="6936B7E6">
        <w:rPr>
          <w:rFonts w:ascii="Century Gothic" w:hAnsi="Century Gothic" w:eastAsia="Calibri" w:cs="Calibri"/>
          <w:color w:val="0070C0"/>
          <w:sz w:val="24"/>
          <w:szCs w:val="24"/>
        </w:rPr>
        <w:t xml:space="preserve">listed on a single directory and the path to access the files could be restricted to the </w:t>
      </w:r>
      <w:r w:rsidRPr="6C0F4079" w:rsidR="6936B7E6">
        <w:rPr>
          <w:rFonts w:ascii="Century Gothic" w:hAnsi="Century Gothic" w:eastAsia="Calibri" w:cs="Calibri"/>
          <w:color w:val="0070C0"/>
          <w:sz w:val="24"/>
          <w:szCs w:val="24"/>
        </w:rPr>
        <w:t>particular directory</w:t>
      </w:r>
      <w:r w:rsidRPr="6C0F4079" w:rsidR="6936B7E6">
        <w:rPr>
          <w:rFonts w:ascii="Century Gothic" w:hAnsi="Century Gothic" w:eastAsia="Calibri" w:cs="Calibri"/>
          <w:color w:val="0070C0"/>
          <w:sz w:val="24"/>
          <w:szCs w:val="24"/>
        </w:rPr>
        <w:t xml:space="preserve"> only. </w:t>
      </w:r>
      <w:r w:rsidRPr="6C0F4079" w:rsidR="342497BE">
        <w:rPr>
          <w:rFonts w:ascii="Century Gothic" w:hAnsi="Century Gothic" w:eastAsia="Calibri" w:cs="Calibri"/>
          <w:color w:val="0070C0"/>
          <w:sz w:val="24"/>
          <w:szCs w:val="24"/>
        </w:rPr>
        <w:t xml:space="preserve">Example: </w:t>
      </w:r>
      <w:r w:rsidRPr="6C0F4079" w:rsidR="342497BE">
        <w:rPr>
          <w:rFonts w:ascii="Century Gothic" w:hAnsi="Century Gothic" w:eastAsia="Calibri" w:cs="Calibri"/>
          <w:color w:val="0070C0"/>
          <w:sz w:val="24"/>
          <w:szCs w:val="24"/>
        </w:rPr>
        <w:t>base_directory</w:t>
      </w:r>
      <w:r w:rsidRPr="6C0F4079" w:rsidR="342497BE">
        <w:rPr>
          <w:rFonts w:ascii="Century Gothic" w:hAnsi="Century Gothic" w:eastAsia="Calibri" w:cs="Calibri"/>
          <w:color w:val="0070C0"/>
          <w:sz w:val="24"/>
          <w:szCs w:val="24"/>
        </w:rPr>
        <w:t xml:space="preserve"> = </w:t>
      </w:r>
      <w:r w:rsidRPr="6C0F4079" w:rsidR="342497BE">
        <w:rPr>
          <w:rFonts w:ascii="Century Gothic" w:hAnsi="Century Gothic" w:eastAsia="Calibri" w:cs="Calibri"/>
          <w:color w:val="0070C0"/>
          <w:sz w:val="24"/>
          <w:szCs w:val="24"/>
        </w:rPr>
        <w:t>Rails.root.join</w:t>
      </w:r>
      <w:r w:rsidRPr="6C0F4079" w:rsidR="342497BE">
        <w:rPr>
          <w:rFonts w:ascii="Century Gothic" w:hAnsi="Century Gothic" w:eastAsia="Calibri" w:cs="Calibri"/>
          <w:color w:val="0070C0"/>
          <w:sz w:val="24"/>
          <w:szCs w:val="24"/>
        </w:rPr>
        <w:t>(‘public</w:t>
      </w:r>
      <w:r w:rsidRPr="6C0F4079" w:rsidR="342497BE">
        <w:rPr>
          <w:rFonts w:ascii="Century Gothic" w:hAnsi="Century Gothic" w:eastAsia="Calibri" w:cs="Calibri"/>
          <w:color w:val="0070C0"/>
          <w:sz w:val="24"/>
          <w:szCs w:val="24"/>
        </w:rPr>
        <w:t>’,</w:t>
      </w:r>
      <w:r w:rsidRPr="6C0F4079" w:rsidR="342497BE">
        <w:rPr>
          <w:rFonts w:ascii="Century Gothic" w:hAnsi="Century Gothic" w:eastAsia="Calibri" w:cs="Calibri"/>
          <w:color w:val="0070C0"/>
          <w:sz w:val="24"/>
          <w:szCs w:val="24"/>
        </w:rPr>
        <w:t xml:space="preserve"> ‘resources’)</w:t>
      </w:r>
      <w:r w:rsidRPr="6C0F4079" w:rsidR="782EDF6D">
        <w:rPr>
          <w:rFonts w:ascii="Century Gothic" w:hAnsi="Century Gothic" w:eastAsia="Calibri" w:cs="Calibri"/>
          <w:color w:val="0070C0"/>
          <w:sz w:val="24"/>
          <w:szCs w:val="24"/>
        </w:rPr>
        <w:t>.</w:t>
      </w:r>
    </w:p>
    <w:p w:rsidR="1E172337" w:rsidP="6C0F4079" w:rsidRDefault="1E172337" w14:paraId="39753A30" w14:textId="6075E67A">
      <w:pPr>
        <w:pStyle w:val="Normal"/>
        <w:ind w:left="0"/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</w:p>
    <w:p w:rsidR="1E172337" w:rsidP="6C0F4079" w:rsidRDefault="1E172337" w14:paraId="4D01C7F1" w14:textId="0EC777C7">
      <w:pPr>
        <w:pStyle w:val="ListParagraph"/>
        <w:numPr>
          <w:ilvl w:val="0"/>
          <w:numId w:val="9"/>
        </w:numPr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  <w:r w:rsidRPr="6C0F4079" w:rsidR="3F6C5E7E">
        <w:rPr>
          <w:rFonts w:ascii="Century Gothic" w:hAnsi="Century Gothic" w:eastAsia="Calibri" w:cs="Calibri"/>
          <w:color w:val="0070C0"/>
          <w:sz w:val="24"/>
          <w:szCs w:val="24"/>
        </w:rPr>
        <w:t xml:space="preserve">The input parameters should be </w:t>
      </w:r>
      <w:r w:rsidRPr="6C0F4079" w:rsidR="3F6C5E7E">
        <w:rPr>
          <w:rFonts w:ascii="Century Gothic" w:hAnsi="Century Gothic" w:eastAsia="Calibri" w:cs="Calibri"/>
          <w:color w:val="0070C0"/>
          <w:sz w:val="24"/>
          <w:szCs w:val="24"/>
        </w:rPr>
        <w:t>validated</w:t>
      </w:r>
      <w:r w:rsidRPr="6C0F4079" w:rsidR="3F6C5E7E">
        <w:rPr>
          <w:rFonts w:ascii="Century Gothic" w:hAnsi="Century Gothic" w:eastAsia="Calibri" w:cs="Calibri"/>
          <w:color w:val="0070C0"/>
          <w:sz w:val="24"/>
          <w:szCs w:val="24"/>
        </w:rPr>
        <w:t xml:space="preserve"> before retrieving the path via the input</w:t>
      </w:r>
      <w:r w:rsidRPr="6C0F4079" w:rsidR="45D2F4E2">
        <w:rPr>
          <w:rFonts w:ascii="Century Gothic" w:hAnsi="Century Gothic" w:eastAsia="Calibri" w:cs="Calibri"/>
          <w:color w:val="0070C0"/>
          <w:sz w:val="24"/>
          <w:szCs w:val="24"/>
        </w:rPr>
        <w:t xml:space="preserve">, which would ensure that the files are not prone to </w:t>
      </w:r>
      <w:r w:rsidRPr="6C0F4079" w:rsidR="45D2F4E2">
        <w:rPr>
          <w:rFonts w:ascii="Century Gothic" w:hAnsi="Century Gothic" w:eastAsia="Calibri" w:cs="Calibri"/>
          <w:color w:val="0070C0"/>
          <w:sz w:val="24"/>
          <w:szCs w:val="24"/>
        </w:rPr>
        <w:t>any of the</w:t>
      </w:r>
      <w:r w:rsidRPr="6C0F4079" w:rsidR="45D2F4E2">
        <w:rPr>
          <w:rFonts w:ascii="Century Gothic" w:hAnsi="Century Gothic" w:eastAsia="Calibri" w:cs="Calibri"/>
          <w:color w:val="0070C0"/>
          <w:sz w:val="24"/>
          <w:szCs w:val="24"/>
        </w:rPr>
        <w:t xml:space="preserve"> injection attacks.</w:t>
      </w:r>
    </w:p>
    <w:p w:rsidR="1E172337" w:rsidP="6C0F4079" w:rsidRDefault="1E172337" w14:paraId="497DC494" w14:textId="6EABA823">
      <w:pPr>
        <w:pStyle w:val="Normal"/>
        <w:ind w:left="0"/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</w:p>
    <w:p w:rsidR="1E172337" w:rsidP="6C0F4079" w:rsidRDefault="1E172337" w14:paraId="1F43A9B6" w14:textId="2EA5887E">
      <w:pPr>
        <w:pStyle w:val="ListParagraph"/>
        <w:numPr>
          <w:ilvl w:val="0"/>
          <w:numId w:val="9"/>
        </w:numPr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  <w:r w:rsidRPr="6C0F4079" w:rsidR="7694AEC9">
        <w:rPr>
          <w:rFonts w:ascii="Century Gothic" w:hAnsi="Century Gothic" w:eastAsia="Calibri" w:cs="Calibri"/>
          <w:color w:val="0070C0"/>
          <w:sz w:val="24"/>
          <w:szCs w:val="24"/>
        </w:rPr>
        <w:t xml:space="preserve">The proper sanitization of the paths should be done to ensure that the potential attacker could not </w:t>
      </w:r>
      <w:r w:rsidRPr="6C0F4079" w:rsidR="07BED9CC">
        <w:rPr>
          <w:rFonts w:ascii="Century Gothic" w:hAnsi="Century Gothic" w:eastAsia="Calibri" w:cs="Calibri"/>
          <w:color w:val="0070C0"/>
          <w:sz w:val="24"/>
          <w:szCs w:val="24"/>
        </w:rPr>
        <w:t>navigate outside of the base directory, also, the use of ‘</w:t>
      </w:r>
      <w:r w:rsidRPr="6C0F4079" w:rsidR="07BED9CC">
        <w:rPr>
          <w:rFonts w:ascii="Century Gothic" w:hAnsi="Century Gothic" w:eastAsia="Calibri" w:cs="Calibri"/>
          <w:color w:val="0070C0"/>
          <w:sz w:val="24"/>
          <w:szCs w:val="24"/>
        </w:rPr>
        <w:t>File.join</w:t>
      </w:r>
      <w:r w:rsidRPr="6C0F4079" w:rsidR="07BED9CC">
        <w:rPr>
          <w:rFonts w:ascii="Century Gothic" w:hAnsi="Century Gothic" w:eastAsia="Calibri" w:cs="Calibri"/>
          <w:color w:val="0070C0"/>
          <w:sz w:val="24"/>
          <w:szCs w:val="24"/>
        </w:rPr>
        <w:t xml:space="preserve">’ should be </w:t>
      </w:r>
      <w:r w:rsidRPr="6C0F4079" w:rsidR="6D77E2C8">
        <w:rPr>
          <w:rFonts w:ascii="Century Gothic" w:hAnsi="Century Gothic" w:eastAsia="Calibri" w:cs="Calibri"/>
          <w:color w:val="0070C0"/>
          <w:sz w:val="24"/>
          <w:szCs w:val="24"/>
        </w:rPr>
        <w:t xml:space="preserve">used </w:t>
      </w:r>
      <w:r w:rsidRPr="6C0F4079" w:rsidR="6D77E2C8">
        <w:rPr>
          <w:rFonts w:ascii="Century Gothic" w:hAnsi="Century Gothic" w:eastAsia="Calibri" w:cs="Calibri"/>
          <w:color w:val="0070C0"/>
          <w:sz w:val="24"/>
          <w:szCs w:val="24"/>
        </w:rPr>
        <w:t>in order to</w:t>
      </w:r>
      <w:r w:rsidRPr="6C0F4079" w:rsidR="6D77E2C8">
        <w:rPr>
          <w:rFonts w:ascii="Century Gothic" w:hAnsi="Century Gothic" w:eastAsia="Calibri" w:cs="Calibri"/>
          <w:color w:val="0070C0"/>
          <w:sz w:val="24"/>
          <w:szCs w:val="24"/>
        </w:rPr>
        <w:t xml:space="preserve"> link the base directory with the file name</w:t>
      </w:r>
      <w:r w:rsidRPr="6C0F4079" w:rsidR="6D77E2C8">
        <w:rPr>
          <w:rFonts w:ascii="Century Gothic" w:hAnsi="Century Gothic" w:eastAsia="Calibri" w:cs="Calibri"/>
          <w:color w:val="0070C0"/>
          <w:sz w:val="24"/>
          <w:szCs w:val="24"/>
        </w:rPr>
        <w:t xml:space="preserve">.  </w:t>
      </w:r>
      <w:r w:rsidRPr="6C0F4079" w:rsidR="6D77E2C8">
        <w:rPr>
          <w:rFonts w:ascii="Century Gothic" w:hAnsi="Century Gothic" w:eastAsia="Calibri" w:cs="Calibri"/>
          <w:color w:val="0070C0"/>
          <w:sz w:val="24"/>
          <w:szCs w:val="24"/>
        </w:rPr>
        <w:t>this could be d</w:t>
      </w:r>
      <w:r w:rsidRPr="6C0F4079" w:rsidR="11D5D0F7">
        <w:rPr>
          <w:rFonts w:ascii="Century Gothic" w:hAnsi="Century Gothic" w:eastAsia="Calibri" w:cs="Calibri"/>
          <w:color w:val="0070C0"/>
          <w:sz w:val="24"/>
          <w:szCs w:val="24"/>
        </w:rPr>
        <w:t>one in the form of the following commands:</w:t>
      </w:r>
    </w:p>
    <w:p w:rsidR="1E172337" w:rsidP="6C0F4079" w:rsidRDefault="1E172337" w14:paraId="7ED86727" w14:textId="014F47DE">
      <w:pPr>
        <w:pStyle w:val="ListParagraph"/>
        <w:numPr>
          <w:ilvl w:val="0"/>
          <w:numId w:val="10"/>
        </w:numPr>
        <w:rPr>
          <w:rFonts w:ascii="Century Gothic" w:hAnsi="Century Gothic" w:eastAsia="Century Gothic" w:cs="Century Gothic"/>
          <w:noProof w:val="0"/>
          <w:color w:val="0070C0"/>
          <w:sz w:val="24"/>
          <w:szCs w:val="24"/>
          <w:lang w:val="en-US"/>
        </w:rPr>
      </w:pPr>
      <w:r w:rsidRPr="6C0F4079" w:rsidR="6D77E2C8">
        <w:rPr>
          <w:noProof w:val="0"/>
          <w:lang w:val="en-US"/>
        </w:rPr>
        <w:t xml:space="preserve">filename = </w:t>
      </w:r>
      <w:r w:rsidRPr="6C0F4079" w:rsidR="6D77E2C8">
        <w:rPr>
          <w:noProof w:val="0"/>
          <w:lang w:val="en-US"/>
        </w:rPr>
        <w:t>task.processing_pdf</w:t>
      </w:r>
      <w:r w:rsidRPr="6C0F4079" w:rsidR="6D77E2C8">
        <w:rPr>
          <w:noProof w:val="0"/>
          <w:lang w:val="en-US"/>
        </w:rPr>
        <w:t>? ?</w:t>
      </w:r>
      <w:r w:rsidRPr="6C0F4079" w:rsidR="6D77E2C8">
        <w:rPr>
          <w:noProof w:val="0"/>
          <w:lang w:val="en-US"/>
        </w:rPr>
        <w:t xml:space="preserve"> 'AwaitingProcessing.pdf</w:t>
      </w:r>
      <w:r w:rsidRPr="6C0F4079" w:rsidR="6D77E2C8">
        <w:rPr>
          <w:noProof w:val="0"/>
          <w:lang w:val="en-US"/>
        </w:rPr>
        <w:t>' :</w:t>
      </w:r>
      <w:r w:rsidRPr="6C0F4079" w:rsidR="6D77E2C8">
        <w:rPr>
          <w:noProof w:val="0"/>
          <w:lang w:val="en-US"/>
        </w:rPr>
        <w:t xml:space="preserve"> "</w:t>
      </w:r>
      <w:r w:rsidRPr="6C0F4079" w:rsidR="4A141FC4">
        <w:rPr>
          <w:noProof w:val="0"/>
          <w:lang w:val="en-US"/>
        </w:rPr>
        <w:t># {</w:t>
      </w:r>
      <w:r w:rsidRPr="6C0F4079" w:rsidR="4A141FC4">
        <w:rPr>
          <w:noProof w:val="0"/>
          <w:lang w:val="en-US"/>
        </w:rPr>
        <w:t>task.task_definition.abbreviation</w:t>
      </w:r>
      <w:r w:rsidRPr="6C0F4079" w:rsidR="4A141FC4">
        <w:rPr>
          <w:noProof w:val="0"/>
          <w:lang w:val="en-US"/>
        </w:rPr>
        <w:t>}.pdf"</w:t>
      </w:r>
    </w:p>
    <w:p w:rsidR="1E172337" w:rsidP="6C0F4079" w:rsidRDefault="1E172337" w14:paraId="3B753BC4" w14:textId="29857F35">
      <w:pPr>
        <w:pStyle w:val="ListParagraph"/>
        <w:numPr>
          <w:ilvl w:val="0"/>
          <w:numId w:val="10"/>
        </w:numPr>
        <w:rPr>
          <w:rFonts w:ascii="Century Gothic" w:hAnsi="Century Gothic" w:eastAsia="Century Gothic" w:cs="Century Gothic"/>
          <w:noProof w:val="0"/>
          <w:color w:val="0070C0"/>
          <w:sz w:val="24"/>
          <w:szCs w:val="24"/>
          <w:lang w:val="en-US"/>
        </w:rPr>
      </w:pPr>
      <w:r w:rsidRPr="6C0F4079" w:rsidR="6D77E2C8">
        <w:rPr>
          <w:noProof w:val="0"/>
          <w:lang w:val="en-US"/>
        </w:rPr>
        <w:t>evidence_loc</w:t>
      </w:r>
      <w:r w:rsidRPr="6C0F4079" w:rsidR="6D77E2C8">
        <w:rPr>
          <w:noProof w:val="0"/>
          <w:lang w:val="en-US"/>
        </w:rPr>
        <w:t xml:space="preserve"> = </w:t>
      </w:r>
      <w:r w:rsidRPr="6C0F4079" w:rsidR="6D77E2C8">
        <w:rPr>
          <w:noProof w:val="0"/>
          <w:lang w:val="en-US"/>
        </w:rPr>
        <w:t>File.join</w:t>
      </w:r>
      <w:r w:rsidRPr="6C0F4079" w:rsidR="6D77E2C8">
        <w:rPr>
          <w:noProof w:val="0"/>
          <w:lang w:val="en-US"/>
        </w:rPr>
        <w:t>(</w:t>
      </w:r>
      <w:r w:rsidRPr="6C0F4079" w:rsidR="6D77E2C8">
        <w:rPr>
          <w:noProof w:val="0"/>
          <w:lang w:val="en-US"/>
        </w:rPr>
        <w:t>base_dir</w:t>
      </w:r>
      <w:r w:rsidRPr="6C0F4079" w:rsidR="6D77E2C8">
        <w:rPr>
          <w:noProof w:val="0"/>
          <w:lang w:val="en-US"/>
        </w:rPr>
        <w:t>, filename)</w:t>
      </w:r>
    </w:p>
    <w:p w:rsidR="1E172337" w:rsidP="6C0F4079" w:rsidRDefault="1E172337" w14:paraId="3719019D" w14:textId="7BF56996">
      <w:pPr>
        <w:pStyle w:val="Normal"/>
        <w:ind w:left="0"/>
        <w:jc w:val="both"/>
        <w:rPr>
          <w:noProof w:val="0"/>
          <w:lang w:val="en-US"/>
        </w:rPr>
      </w:pPr>
    </w:p>
    <w:p w:rsidR="1E172337" w:rsidP="6C0F4079" w:rsidRDefault="1E172337" w14:paraId="5F7627EF" w14:textId="29812587">
      <w:pPr>
        <w:pStyle w:val="Normal"/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</w:p>
    <w:p w:rsidR="1E172337" w:rsidP="6C0F4079" w:rsidRDefault="1E172337" w14:paraId="78468CFD" w14:textId="4DF87327">
      <w:pPr>
        <w:pStyle w:val="Normal"/>
        <w:jc w:val="both"/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1E172337" w:rsidP="6C0F4079" w:rsidRDefault="1E172337" w14:paraId="7B1F8889" w14:textId="4609D6BC">
      <w:pPr>
        <w:pStyle w:val="Normal"/>
        <w:jc w:val="both"/>
        <w:rPr>
          <w:rFonts w:ascii="Century Gothic" w:hAnsi="Century Gothic" w:eastAsia="Calibri" w:cs="Calibri"/>
          <w:b w:val="1"/>
          <w:bCs w:val="1"/>
          <w:color w:val="000000" w:themeColor="text1"/>
          <w:sz w:val="24"/>
          <w:szCs w:val="24"/>
        </w:rPr>
      </w:pPr>
      <w:r w:rsidRPr="6C0F4079" w:rsidR="1E172337">
        <w:rPr>
          <w:rFonts w:ascii="Century Gothic" w:hAnsi="Century Gothic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References</w:t>
      </w:r>
    </w:p>
    <w:p w:rsidRPr="00E751B5" w:rsidR="00E751B5" w:rsidP="00BA21BB" w:rsidRDefault="00E751B5" w14:paraId="51739103" w14:textId="1EC33A06">
      <w:pPr>
        <w:jc w:val="both"/>
        <w:rPr>
          <w:rFonts w:ascii="Century Gothic" w:hAnsi="Century Gothic" w:eastAsia="Calibri" w:cs="Calibri"/>
          <w:b/>
          <w:bCs/>
          <w:color w:val="000000" w:themeColor="text1"/>
        </w:rPr>
      </w:pPr>
      <w:hyperlink w:history="1" r:id="rId12">
        <w:r w:rsidRPr="00E751B5">
          <w:rPr>
            <w:rStyle w:val="Hyperlink"/>
            <w:rFonts w:ascii="Century Gothic" w:hAnsi="Century Gothic" w:eastAsia="Calibri" w:cs="Calibri"/>
            <w:b/>
            <w:bCs/>
          </w:rPr>
          <w:t>https://portswigger.net/kb/issues/00100300_file-path-traversal</w:t>
        </w:r>
      </w:hyperlink>
    </w:p>
    <w:p w:rsidR="00E751B5" w:rsidP="00E751B5" w:rsidRDefault="00E751B5" w14:paraId="3A67B726" w14:textId="77777777">
      <w:pPr>
        <w:jc w:val="both"/>
        <w:rPr>
          <w:rFonts w:ascii="Century Gothic" w:hAnsi="Century Gothic" w:eastAsia="Calibri" w:cs="Calibri"/>
          <w:b/>
          <w:bCs/>
          <w:color w:val="0070C0"/>
        </w:rPr>
      </w:pPr>
      <w:hyperlink w:history="1" r:id="rId13">
        <w:r w:rsidRPr="00E751B5">
          <w:rPr>
            <w:rStyle w:val="Hyperlink"/>
            <w:rFonts w:ascii="Century Gothic" w:hAnsi="Century Gothic" w:eastAsia="Calibri" w:cs="Calibri"/>
            <w:b/>
            <w:bCs/>
          </w:rPr>
          <w:t>https://owasp.org/www-community/attacks/Path_Traversal</w:t>
        </w:r>
      </w:hyperlink>
    </w:p>
    <w:p w:rsidR="00E751B5" w:rsidP="00BA21BB" w:rsidRDefault="00E751B5" w14:paraId="19DCF9C4" w14:textId="77777777">
      <w:pPr>
        <w:jc w:val="both"/>
        <w:rPr>
          <w:rFonts w:ascii="Century Gothic" w:hAnsi="Century Gothic" w:eastAsia="Calibri" w:cs="Calibri"/>
          <w:b/>
          <w:bCs/>
          <w:color w:val="000000" w:themeColor="text1"/>
        </w:rPr>
      </w:pPr>
    </w:p>
    <w:p w:rsidR="15591512" w:rsidP="00BA21BB" w:rsidRDefault="15591512" w14:paraId="623F4A6E" w14:textId="4AD71AFB"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Contact Details</w:t>
      </w:r>
    </w:p>
    <w:p w:rsidR="6009D5C6" w:rsidP="00BA21BB" w:rsidRDefault="003A40D5" w14:paraId="20BCDEBA" w14:textId="315DBC9B">
      <w:pPr>
        <w:jc w:val="both"/>
        <w:rPr>
          <w:rFonts w:ascii="Century Gothic" w:hAnsi="Century Gothic" w:eastAsia="Calibri" w:cs="Calibri"/>
          <w:color w:val="0070C0"/>
          <w:sz w:val="24"/>
          <w:szCs w:val="24"/>
        </w:rPr>
      </w:pPr>
      <w:r>
        <w:rPr>
          <w:rFonts w:ascii="Century Gothic" w:hAnsi="Century Gothic" w:eastAsia="Calibri" w:cs="Calibri"/>
          <w:color w:val="0070C0"/>
          <w:sz w:val="24"/>
          <w:szCs w:val="24"/>
        </w:rPr>
        <w:t>Gaurish Bhatia</w:t>
      </w:r>
    </w:p>
    <w:p w:rsidRPr="00BE3237" w:rsidR="003A40D5" w:rsidP="00BA21BB" w:rsidRDefault="003A40D5" w14:paraId="0C1768A7" w14:textId="4390129A"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>
        <w:rPr>
          <w:rFonts w:ascii="Century Gothic" w:hAnsi="Century Gothic" w:eastAsia="Calibri" w:cs="Calibri"/>
          <w:color w:val="0070C0"/>
          <w:sz w:val="24"/>
          <w:szCs w:val="24"/>
        </w:rPr>
        <w:t>S2221987151@deakin.edu.au</w:t>
      </w:r>
    </w:p>
    <w:p w:rsidR="6009D5C6" w:rsidP="00BA21BB" w:rsidRDefault="2EB418EB" w14:paraId="3B8E6FBF" w14:textId="3567A5C4">
      <w:pPr>
        <w:jc w:val="both"/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hAnsi="Century Gothic" w:eastAsia="Calibri" w:cs="Calibri"/>
          <w:b/>
          <w:bCs/>
          <w:color w:val="000000" w:themeColor="text1"/>
          <w:sz w:val="24"/>
          <w:szCs w:val="24"/>
        </w:rPr>
        <w:t>Pentest Leader Feedback.</w:t>
      </w:r>
    </w:p>
    <w:p w:rsidRPr="00BE3237" w:rsidR="6009D5C6" w:rsidP="00BA21BB" w:rsidRDefault="00686EE4" w14:paraId="399CA9A2" w14:textId="72474764">
      <w:pPr>
        <w:jc w:val="both"/>
        <w:rPr>
          <w:rFonts w:ascii="Century Gothic" w:hAnsi="Century Gothic" w:eastAsia="Calibri" w:cs="Calibri"/>
          <w:color w:val="7030A0"/>
          <w:sz w:val="24"/>
          <w:szCs w:val="24"/>
        </w:rPr>
      </w:pPr>
      <w:r w:rsidRPr="6FA0C22C">
        <w:rPr>
          <w:rFonts w:ascii="Century Gothic" w:hAnsi="Century Gothic" w:eastAsia="Calibri" w:cs="Calibri"/>
          <w:color w:val="7030A0"/>
          <w:sz w:val="24"/>
          <w:szCs w:val="24"/>
        </w:rPr>
        <w:t>The lead will provide feedback to enact on</w:t>
      </w:r>
      <w:r w:rsidRPr="6FA0C22C" w:rsidR="00C2F475">
        <w:rPr>
          <w:rFonts w:ascii="Century Gothic" w:hAnsi="Century Gothic" w:eastAsia="Calibri" w:cs="Calibri"/>
          <w:color w:val="7030A0"/>
          <w:sz w:val="24"/>
          <w:szCs w:val="24"/>
        </w:rPr>
        <w:t>.</w:t>
      </w:r>
    </w:p>
    <w:sectPr w:rsidRPr="00BE3237" w:rsidR="6009D5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4ABC" w:rsidP="00CA27D7" w:rsidRDefault="00A04ABC" w14:paraId="23C8F283" w14:textId="77777777">
      <w:pPr>
        <w:spacing w:after="0" w:line="240" w:lineRule="auto"/>
      </w:pPr>
      <w:r>
        <w:separator/>
      </w:r>
    </w:p>
  </w:endnote>
  <w:endnote w:type="continuationSeparator" w:id="0">
    <w:p w:rsidR="00A04ABC" w:rsidP="00CA27D7" w:rsidRDefault="00A04ABC" w14:paraId="491D8453" w14:textId="77777777">
      <w:pPr>
        <w:spacing w:after="0" w:line="240" w:lineRule="auto"/>
      </w:pPr>
      <w:r>
        <w:continuationSeparator/>
      </w:r>
    </w:p>
  </w:endnote>
  <w:endnote w:type="continuationNotice" w:id="1">
    <w:p w:rsidR="00A04ABC" w:rsidRDefault="00A04ABC" w14:paraId="613B1D9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4ABC" w:rsidP="00CA27D7" w:rsidRDefault="00A04ABC" w14:paraId="4579AF1F" w14:textId="77777777">
      <w:pPr>
        <w:spacing w:after="0" w:line="240" w:lineRule="auto"/>
      </w:pPr>
      <w:r>
        <w:separator/>
      </w:r>
    </w:p>
  </w:footnote>
  <w:footnote w:type="continuationSeparator" w:id="0">
    <w:p w:rsidR="00A04ABC" w:rsidP="00CA27D7" w:rsidRDefault="00A04ABC" w14:paraId="7FB52213" w14:textId="77777777">
      <w:pPr>
        <w:spacing w:after="0" w:line="240" w:lineRule="auto"/>
      </w:pPr>
      <w:r>
        <w:continuationSeparator/>
      </w:r>
    </w:p>
  </w:footnote>
  <w:footnote w:type="continuationNotice" w:id="1">
    <w:p w:rsidR="00A04ABC" w:rsidRDefault="00A04ABC" w14:paraId="288B16D9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6d0ce9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594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037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 w16cid:durableId="558564000">
    <w:abstractNumId w:val="0"/>
  </w:num>
  <w:num w:numId="2" w16cid:durableId="633683039">
    <w:abstractNumId w:val="5"/>
  </w:num>
  <w:num w:numId="3" w16cid:durableId="901720464">
    <w:abstractNumId w:val="6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F1027"/>
    <w:rsid w:val="00110EA6"/>
    <w:rsid w:val="002E524B"/>
    <w:rsid w:val="002F4FDD"/>
    <w:rsid w:val="00354146"/>
    <w:rsid w:val="003A40D5"/>
    <w:rsid w:val="003D1EBA"/>
    <w:rsid w:val="003D3CBD"/>
    <w:rsid w:val="003D5C2E"/>
    <w:rsid w:val="0044443D"/>
    <w:rsid w:val="0044D314"/>
    <w:rsid w:val="004E1DBD"/>
    <w:rsid w:val="00533EA6"/>
    <w:rsid w:val="00640B7F"/>
    <w:rsid w:val="00650C75"/>
    <w:rsid w:val="0065133A"/>
    <w:rsid w:val="00657296"/>
    <w:rsid w:val="006628CE"/>
    <w:rsid w:val="00686EE4"/>
    <w:rsid w:val="006E04AD"/>
    <w:rsid w:val="00721338"/>
    <w:rsid w:val="007730B3"/>
    <w:rsid w:val="00810A60"/>
    <w:rsid w:val="00992292"/>
    <w:rsid w:val="00A04ABC"/>
    <w:rsid w:val="00A613EF"/>
    <w:rsid w:val="00AB610C"/>
    <w:rsid w:val="00AD543F"/>
    <w:rsid w:val="00BA21BB"/>
    <w:rsid w:val="00BE3237"/>
    <w:rsid w:val="00C2F475"/>
    <w:rsid w:val="00C72AC1"/>
    <w:rsid w:val="00CA065C"/>
    <w:rsid w:val="00CA27D7"/>
    <w:rsid w:val="00CA57EE"/>
    <w:rsid w:val="00CC4ECA"/>
    <w:rsid w:val="00D7341B"/>
    <w:rsid w:val="00DC7FD7"/>
    <w:rsid w:val="00E751B5"/>
    <w:rsid w:val="00EA5E6D"/>
    <w:rsid w:val="00F35EE7"/>
    <w:rsid w:val="00F52A31"/>
    <w:rsid w:val="015BECE1"/>
    <w:rsid w:val="02526E92"/>
    <w:rsid w:val="04C764AE"/>
    <w:rsid w:val="04DC9B94"/>
    <w:rsid w:val="07BED9CC"/>
    <w:rsid w:val="0A44E58B"/>
    <w:rsid w:val="0A6955F7"/>
    <w:rsid w:val="0DA0F6B9"/>
    <w:rsid w:val="0E8AF78F"/>
    <w:rsid w:val="0E8B6B60"/>
    <w:rsid w:val="0F4F4B04"/>
    <w:rsid w:val="0FB600B7"/>
    <w:rsid w:val="103DEA50"/>
    <w:rsid w:val="11D5D0F7"/>
    <w:rsid w:val="11FF304F"/>
    <w:rsid w:val="145FBBD9"/>
    <w:rsid w:val="1527F31F"/>
    <w:rsid w:val="154112F7"/>
    <w:rsid w:val="15591512"/>
    <w:rsid w:val="15611D62"/>
    <w:rsid w:val="16AD2BD4"/>
    <w:rsid w:val="17FD7981"/>
    <w:rsid w:val="1AF05625"/>
    <w:rsid w:val="1B59EEB3"/>
    <w:rsid w:val="1C61C352"/>
    <w:rsid w:val="1D1C6D58"/>
    <w:rsid w:val="1DFD93B3"/>
    <w:rsid w:val="1E172337"/>
    <w:rsid w:val="1F3CAA3E"/>
    <w:rsid w:val="1FB84DED"/>
    <w:rsid w:val="21353475"/>
    <w:rsid w:val="21C955DB"/>
    <w:rsid w:val="225F9340"/>
    <w:rsid w:val="25265F02"/>
    <w:rsid w:val="25422E65"/>
    <w:rsid w:val="25C0DC2A"/>
    <w:rsid w:val="27C35FD2"/>
    <w:rsid w:val="28AB7EA3"/>
    <w:rsid w:val="2953A169"/>
    <w:rsid w:val="2AD58AF6"/>
    <w:rsid w:val="2C09D706"/>
    <w:rsid w:val="2E8E0530"/>
    <w:rsid w:val="2EB418EB"/>
    <w:rsid w:val="305A99F3"/>
    <w:rsid w:val="32C7747E"/>
    <w:rsid w:val="33AA5DC2"/>
    <w:rsid w:val="33B591E3"/>
    <w:rsid w:val="342497BE"/>
    <w:rsid w:val="35E866B1"/>
    <w:rsid w:val="383A444B"/>
    <w:rsid w:val="38953459"/>
    <w:rsid w:val="3936B602"/>
    <w:rsid w:val="3BCCD51B"/>
    <w:rsid w:val="3BEBBEF4"/>
    <w:rsid w:val="3C57A835"/>
    <w:rsid w:val="3C6E56C4"/>
    <w:rsid w:val="3E0A2725"/>
    <w:rsid w:val="3F6C5E7E"/>
    <w:rsid w:val="40E462CF"/>
    <w:rsid w:val="40E6B9E1"/>
    <w:rsid w:val="40E97C68"/>
    <w:rsid w:val="41616493"/>
    <w:rsid w:val="433401D2"/>
    <w:rsid w:val="443C4007"/>
    <w:rsid w:val="44616B2C"/>
    <w:rsid w:val="45218EDA"/>
    <w:rsid w:val="45D2F4E2"/>
    <w:rsid w:val="45D8E078"/>
    <w:rsid w:val="469402BF"/>
    <w:rsid w:val="46A9ED73"/>
    <w:rsid w:val="47A85AA7"/>
    <w:rsid w:val="48B345A9"/>
    <w:rsid w:val="48B6BD98"/>
    <w:rsid w:val="48BD0A10"/>
    <w:rsid w:val="4925A5D6"/>
    <w:rsid w:val="493E18C3"/>
    <w:rsid w:val="4A141FC4"/>
    <w:rsid w:val="4AF31C8B"/>
    <w:rsid w:val="4BD8442E"/>
    <w:rsid w:val="4D7E372D"/>
    <w:rsid w:val="4EFA2131"/>
    <w:rsid w:val="4F417106"/>
    <w:rsid w:val="5414E229"/>
    <w:rsid w:val="56F00AE7"/>
    <w:rsid w:val="574C82EB"/>
    <w:rsid w:val="58312153"/>
    <w:rsid w:val="589BB971"/>
    <w:rsid w:val="59129F9D"/>
    <w:rsid w:val="5994D52E"/>
    <w:rsid w:val="5F43FC19"/>
    <w:rsid w:val="5FEE1DB3"/>
    <w:rsid w:val="5FF76BFF"/>
    <w:rsid w:val="6009D5C6"/>
    <w:rsid w:val="607DC4D0"/>
    <w:rsid w:val="615A4585"/>
    <w:rsid w:val="6494AD44"/>
    <w:rsid w:val="657189CA"/>
    <w:rsid w:val="65883859"/>
    <w:rsid w:val="661BC247"/>
    <w:rsid w:val="66A530AD"/>
    <w:rsid w:val="677873BC"/>
    <w:rsid w:val="684744FF"/>
    <w:rsid w:val="68A92A8C"/>
    <w:rsid w:val="6936B7E6"/>
    <w:rsid w:val="69A0FF76"/>
    <w:rsid w:val="6C0F4079"/>
    <w:rsid w:val="6C114901"/>
    <w:rsid w:val="6C28004D"/>
    <w:rsid w:val="6D77E2C8"/>
    <w:rsid w:val="6D7C9BAF"/>
    <w:rsid w:val="6D934A3E"/>
    <w:rsid w:val="6F186C10"/>
    <w:rsid w:val="6FA0C22C"/>
    <w:rsid w:val="70392E87"/>
    <w:rsid w:val="71D4FEE8"/>
    <w:rsid w:val="72389DA4"/>
    <w:rsid w:val="7470AEC9"/>
    <w:rsid w:val="7694AEC9"/>
    <w:rsid w:val="769E6C57"/>
    <w:rsid w:val="76C8B8A8"/>
    <w:rsid w:val="7713A3E4"/>
    <w:rsid w:val="778B6C7E"/>
    <w:rsid w:val="782EDF6D"/>
    <w:rsid w:val="79738B54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EBA"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7D7"/>
  </w:style>
  <w:style w:type="character" w:styleId="Heading1Char" w:customStyle="1">
    <w:name w:val="Heading 1 Char"/>
    <w:basedOn w:val="DefaultParagraphFont"/>
    <w:link w:val="Heading1"/>
    <w:uiPriority w:val="9"/>
    <w:rsid w:val="00F35EE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5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1B5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owasp.org/www-community/attacks/Path_Traversal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portswigger.net/kb/issues/00100300_file-path-traversal" TargetMode="Externa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6950d8c60c1b4a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JARROD WIGG</dc:creator>
  <keywords/>
  <dc:description/>
  <lastModifiedBy>GAURISH BHATIA</lastModifiedBy>
  <revision>4</revision>
  <dcterms:created xsi:type="dcterms:W3CDTF">2024-04-11T04:39:00.0000000Z</dcterms:created>
  <dcterms:modified xsi:type="dcterms:W3CDTF">2024-04-14T04:14:38.5381399Z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