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E3237" w:rsidR="00BE3237" w:rsidP="00BE3237"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56F00AE7" w:rsidRDefault="00BE3237" w14:paraId="2A040499" w14:textId="1804A214">
      <w:pPr>
        <w:pStyle w:val="Normal"/>
        <w:rPr>
          <w:rFonts w:ascii="Century Gothic" w:hAnsi="Century Gothic"/>
          <w:color w:val="0070C0"/>
        </w:rPr>
      </w:pPr>
      <w:r w:rsidRPr="58CB052B" w:rsidR="00BE3237">
        <w:rPr>
          <w:rFonts w:ascii="Century Gothic" w:hAnsi="Century Gothic"/>
          <w:b w:val="1"/>
          <w:bCs w:val="1"/>
          <w:sz w:val="28"/>
          <w:szCs w:val="28"/>
        </w:rPr>
        <w:t xml:space="preserve">Finding Name: </w:t>
      </w:r>
      <w:r w:rsidRPr="58CB052B" w:rsidR="1AE93B09">
        <w:rPr>
          <w:rFonts w:ascii="Century Gothic" w:hAnsi="Century Gothic" w:eastAsia="Century Gothic" w:cs="Century Gothic"/>
          <w:noProof w:val="0"/>
          <w:sz w:val="28"/>
          <w:szCs w:val="28"/>
          <w:lang w:val="en-US"/>
        </w:rPr>
        <w:t>Insecure File Permission Assignment</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58CB052B" w14:paraId="259987A1" w14:textId="77777777">
        <w:trPr>
          <w:trHeight w:val="300"/>
        </w:trPr>
        <w:tc>
          <w:tcPr>
            <w:tcW w:w="1693" w:type="dxa"/>
            <w:tcMar>
              <w:left w:w="105" w:type="dxa"/>
              <w:right w:w="105" w:type="dxa"/>
            </w:tcMar>
          </w:tcPr>
          <w:p w:rsidRPr="00BE3237" w:rsidR="4EFA2131" w:rsidP="4EFA2131"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4EFA2131"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4EFA2131"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4EFA2131"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4EFA2131"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4EFA2131"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58CB052B" w14:paraId="2D4018AC" w14:textId="77777777">
        <w:trPr>
          <w:trHeight w:val="300"/>
        </w:trPr>
        <w:tc>
          <w:tcPr>
            <w:tcW w:w="1693" w:type="dxa"/>
            <w:tcMar>
              <w:left w:w="105" w:type="dxa"/>
              <w:right w:w="105" w:type="dxa"/>
            </w:tcMar>
          </w:tcPr>
          <w:p w:rsidRPr="00533EA6" w:rsidR="4EFA2131" w:rsidP="4EFA2131" w:rsidRDefault="00BE3237" w14:paraId="7A0AE70A" w14:textId="68F458F8">
            <w:pPr>
              <w:spacing w:line="259" w:lineRule="auto"/>
              <w:rPr>
                <w:rFonts w:ascii="Century Gothic" w:hAnsi="Century Gothic" w:eastAsia="Segoe UI" w:cs="Segoe UI"/>
                <w:color w:val="0070C0"/>
                <w:sz w:val="18"/>
                <w:szCs w:val="18"/>
              </w:rPr>
            </w:pPr>
            <w:r w:rsidRPr="58CB052B" w:rsidR="03B5B737">
              <w:rPr>
                <w:rFonts w:ascii="Century Gothic" w:hAnsi="Century Gothic" w:eastAsia="Segoe UI" w:cs="Segoe UI"/>
                <w:color w:val="0070C0"/>
                <w:sz w:val="18"/>
                <w:szCs w:val="18"/>
              </w:rPr>
              <w:t>Deakin Carr</w:t>
            </w:r>
          </w:p>
        </w:tc>
        <w:tc>
          <w:tcPr>
            <w:tcW w:w="1037" w:type="dxa"/>
            <w:tcMar>
              <w:left w:w="105" w:type="dxa"/>
              <w:right w:w="105" w:type="dxa"/>
            </w:tcMar>
          </w:tcPr>
          <w:p w:rsidRPr="00533EA6" w:rsidR="4EFA2131" w:rsidP="58CB052B" w:rsidRDefault="00BE3237" w14:paraId="5D321C9C" w14:textId="2CBA585F">
            <w:pPr>
              <w:pStyle w:val="Normal"/>
              <w:suppressLineNumbers w:val="0"/>
              <w:bidi w:val="0"/>
              <w:spacing w:before="0" w:beforeAutospacing="off" w:after="0" w:afterAutospacing="off" w:line="259" w:lineRule="auto"/>
              <w:ind w:left="0" w:right="0"/>
              <w:jc w:val="left"/>
              <w:rPr/>
            </w:pPr>
            <w:r w:rsidRPr="58CB052B" w:rsidR="03B5B737">
              <w:rPr>
                <w:rFonts w:ascii="Century Gothic" w:hAnsi="Century Gothic" w:eastAsia="Segoe UI" w:cs="Segoe UI"/>
                <w:color w:val="0070C0"/>
                <w:sz w:val="18"/>
                <w:szCs w:val="18"/>
              </w:rPr>
              <w:t>SCR</w:t>
            </w:r>
          </w:p>
        </w:tc>
        <w:tc>
          <w:tcPr>
            <w:tcW w:w="1440" w:type="dxa"/>
            <w:tcMar>
              <w:left w:w="105" w:type="dxa"/>
              <w:right w:w="105" w:type="dxa"/>
            </w:tcMar>
          </w:tcPr>
          <w:p w:rsidRPr="00533EA6" w:rsidR="4EFA2131" w:rsidP="70392E87" w:rsidRDefault="00BE3237" w14:paraId="604D3771" w14:textId="24CC656B">
            <w:pPr>
              <w:spacing w:line="259" w:lineRule="auto"/>
              <w:rPr>
                <w:rFonts w:ascii="Century Gothic" w:hAnsi="Century Gothic" w:eastAsia="Century Gothic" w:cs="Century Gothic"/>
                <w:noProof w:val="0"/>
                <w:sz w:val="18"/>
                <w:szCs w:val="18"/>
                <w:lang w:val="en-US"/>
              </w:rPr>
            </w:pPr>
            <w:r w:rsidRPr="70392E87" w:rsidR="46A9ED73">
              <w:rPr>
                <w:rFonts w:ascii="Century Gothic" w:hAnsi="Century Gothic" w:eastAsia="Century Gothic" w:cs="Century Gothic"/>
                <w:b w:val="0"/>
                <w:bCs w:val="0"/>
                <w:i w:val="0"/>
                <w:iCs w:val="0"/>
                <w:caps w:val="0"/>
                <w:smallCaps w:val="0"/>
                <w:noProof w:val="0"/>
                <w:color w:val="0070C0"/>
                <w:sz w:val="18"/>
                <w:szCs w:val="18"/>
                <w:lang w:val="en-US"/>
              </w:rPr>
              <w:t>Junior Team Member</w:t>
            </w:r>
          </w:p>
          <w:p w:rsidRPr="00533EA6" w:rsidR="4EFA2131" w:rsidP="70392E87" w:rsidRDefault="00BE3237" w14:paraId="548E61B0" w14:textId="70120EFC">
            <w:pPr>
              <w:pStyle w:val="Normal"/>
              <w:spacing w:line="259" w:lineRule="auto"/>
              <w:rPr>
                <w:rFonts w:ascii="Century Gothic" w:hAnsi="Century Gothic" w:eastAsia="Segoe UI" w:cs="Segoe UI"/>
                <w:color w:val="0070C0"/>
                <w:sz w:val="18"/>
                <w:szCs w:val="18"/>
              </w:rPr>
            </w:pPr>
          </w:p>
        </w:tc>
        <w:tc>
          <w:tcPr>
            <w:tcW w:w="1095" w:type="dxa"/>
            <w:tcMar>
              <w:left w:w="105" w:type="dxa"/>
              <w:right w:w="105" w:type="dxa"/>
            </w:tcMar>
          </w:tcPr>
          <w:p w:rsidRPr="00533EA6" w:rsidR="4EFA2131" w:rsidP="4EFA2131" w:rsidRDefault="00BE3237" w14:paraId="06B080F4" w14:textId="6848CBE6">
            <w:pPr>
              <w:spacing w:line="259" w:lineRule="auto"/>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95" w:type="dxa"/>
            <w:tcMar>
              <w:left w:w="105" w:type="dxa"/>
              <w:right w:w="105" w:type="dxa"/>
            </w:tcMar>
          </w:tcPr>
          <w:p w:rsidRPr="00533EA6" w:rsidR="4EFA2131" w:rsidP="4EFA2131" w:rsidRDefault="00BE3237" w14:paraId="05A11C1B" w14:textId="69937C92">
            <w:pPr>
              <w:spacing w:line="259" w:lineRule="auto"/>
              <w:rPr>
                <w:rFonts w:ascii="Century Gothic" w:hAnsi="Century Gothic" w:eastAsia="Segoe UI" w:cs="Segoe UI"/>
                <w:color w:val="0070C0"/>
                <w:sz w:val="18"/>
                <w:szCs w:val="18"/>
              </w:rPr>
            </w:pPr>
          </w:p>
        </w:tc>
        <w:tc>
          <w:tcPr>
            <w:tcW w:w="2088" w:type="dxa"/>
            <w:tcMar>
              <w:left w:w="105" w:type="dxa"/>
              <w:right w:w="105" w:type="dxa"/>
            </w:tcMar>
          </w:tcPr>
          <w:p w:rsidRPr="00BE3237" w:rsidR="4EFA2131" w:rsidP="4EFA2131" w:rsidRDefault="4EFA2131" w14:paraId="09BF272D" w14:textId="14BA758C">
            <w:pPr>
              <w:spacing w:line="259" w:lineRule="auto"/>
              <w:rPr>
                <w:rFonts w:ascii="Century Gothic" w:hAnsi="Century Gothic" w:eastAsia="Segoe UI" w:cs="Segoe UI"/>
                <w:color w:val="000000" w:themeColor="text1"/>
                <w:sz w:val="18"/>
                <w:szCs w:val="18"/>
              </w:rPr>
            </w:pPr>
          </w:p>
        </w:tc>
      </w:tr>
      <w:tr w:rsidRPr="00BE3237" w:rsidR="4EFA2131" w:rsidTr="58CB052B" w14:paraId="0B819D07" w14:textId="77777777">
        <w:trPr>
          <w:trHeight w:val="300"/>
        </w:trPr>
        <w:tc>
          <w:tcPr>
            <w:tcW w:w="1693" w:type="dxa"/>
            <w:tcMar>
              <w:left w:w="105" w:type="dxa"/>
              <w:right w:w="105" w:type="dxa"/>
            </w:tcMar>
          </w:tcPr>
          <w:p w:rsidRPr="00BE3237" w:rsidR="4EFA2131" w:rsidP="4EFA2131" w:rsidRDefault="4EFA2131" w14:paraId="2F2594D7" w14:textId="3FC446D6">
            <w:pPr>
              <w:spacing w:line="259" w:lineRule="auto"/>
              <w:rPr>
                <w:rFonts w:ascii="Century Gothic" w:hAnsi="Century Gothic" w:eastAsia="Segoe UI" w:cs="Segoe UI"/>
                <w:color w:val="000000" w:themeColor="text1"/>
                <w:sz w:val="18"/>
                <w:szCs w:val="18"/>
              </w:rPr>
            </w:pPr>
          </w:p>
        </w:tc>
        <w:tc>
          <w:tcPr>
            <w:tcW w:w="1037" w:type="dxa"/>
            <w:tcMar>
              <w:left w:w="105" w:type="dxa"/>
              <w:right w:w="105" w:type="dxa"/>
            </w:tcMar>
          </w:tcPr>
          <w:p w:rsidRPr="00BE3237" w:rsidR="4EFA2131" w:rsidP="4EFA2131" w:rsidRDefault="4EFA2131" w14:paraId="12CCD170" w14:textId="7D6089F9">
            <w:pPr>
              <w:spacing w:line="259" w:lineRule="auto"/>
              <w:rPr>
                <w:rFonts w:ascii="Century Gothic" w:hAnsi="Century Gothic" w:eastAsia="Segoe UI" w:cs="Segoe UI"/>
                <w:color w:val="000000" w:themeColor="text1"/>
                <w:sz w:val="18"/>
                <w:szCs w:val="18"/>
              </w:rPr>
            </w:pPr>
          </w:p>
        </w:tc>
        <w:tc>
          <w:tcPr>
            <w:tcW w:w="1440" w:type="dxa"/>
            <w:tcMar>
              <w:left w:w="105" w:type="dxa"/>
              <w:right w:w="105" w:type="dxa"/>
            </w:tcMar>
          </w:tcPr>
          <w:p w:rsidRPr="00BE3237" w:rsidR="4EFA2131" w:rsidP="4EFA2131" w:rsidRDefault="4EFA2131" w14:paraId="2A4B4AF5" w14:textId="65DE9079">
            <w:pPr>
              <w:spacing w:line="259" w:lineRule="auto"/>
              <w:rPr>
                <w:rFonts w:ascii="Century Gothic" w:hAnsi="Century Gothic" w:eastAsia="Segoe UI" w:cs="Segoe UI"/>
                <w:color w:val="000000" w:themeColor="text1"/>
                <w:sz w:val="18"/>
                <w:szCs w:val="18"/>
              </w:rPr>
            </w:pPr>
          </w:p>
        </w:tc>
        <w:tc>
          <w:tcPr>
            <w:tcW w:w="1095" w:type="dxa"/>
            <w:tcMar>
              <w:left w:w="105" w:type="dxa"/>
              <w:right w:w="105" w:type="dxa"/>
            </w:tcMar>
          </w:tcPr>
          <w:p w:rsidRPr="00BE3237" w:rsidR="4EFA2131" w:rsidP="4EFA2131" w:rsidRDefault="4EFA2131" w14:paraId="1828EB61" w14:textId="60EF6453">
            <w:pPr>
              <w:spacing w:line="259" w:lineRule="auto"/>
              <w:rPr>
                <w:rFonts w:ascii="Century Gothic" w:hAnsi="Century Gothic" w:eastAsia="Segoe UI" w:cs="Segoe UI"/>
                <w:color w:val="000000" w:themeColor="text1"/>
                <w:sz w:val="18"/>
                <w:szCs w:val="18"/>
              </w:rPr>
            </w:pPr>
          </w:p>
        </w:tc>
        <w:tc>
          <w:tcPr>
            <w:tcW w:w="1995" w:type="dxa"/>
            <w:tcMar>
              <w:left w:w="105" w:type="dxa"/>
              <w:right w:w="105" w:type="dxa"/>
            </w:tcMar>
          </w:tcPr>
          <w:p w:rsidRPr="00BE3237" w:rsidR="4EFA2131" w:rsidP="4EFA2131" w:rsidRDefault="4EFA2131" w14:paraId="11C35E56" w14:textId="520B2967">
            <w:pPr>
              <w:spacing w:line="259" w:lineRule="auto"/>
              <w:rPr>
                <w:rFonts w:ascii="Century Gothic" w:hAnsi="Century Gothic" w:eastAsia="Segoe UI" w:cs="Segoe UI"/>
                <w:color w:val="000000" w:themeColor="text1"/>
                <w:sz w:val="18"/>
                <w:szCs w:val="18"/>
              </w:rPr>
            </w:pPr>
          </w:p>
        </w:tc>
        <w:tc>
          <w:tcPr>
            <w:tcW w:w="2088" w:type="dxa"/>
            <w:tcMar>
              <w:left w:w="105" w:type="dxa"/>
              <w:right w:w="105" w:type="dxa"/>
            </w:tcMar>
          </w:tcPr>
          <w:p w:rsidRPr="00BE3237" w:rsidR="4EFA2131" w:rsidP="4EFA2131" w:rsidRDefault="4EFA2131" w14:paraId="53DBD9FD" w14:textId="45EF7F77">
            <w:pPr>
              <w:spacing w:line="259" w:lineRule="auto"/>
              <w:rPr>
                <w:rFonts w:ascii="Century Gothic" w:hAnsi="Century Gothic" w:eastAsia="Segoe UI" w:cs="Segoe UI"/>
                <w:color w:val="000000" w:themeColor="text1"/>
                <w:sz w:val="18"/>
                <w:szCs w:val="18"/>
              </w:rPr>
            </w:pPr>
          </w:p>
        </w:tc>
      </w:tr>
    </w:tbl>
    <w:p w:rsidRPr="00BE3237" w:rsidR="6009D5C6" w:rsidP="6009D5C6" w:rsidRDefault="6009D5C6" w14:paraId="26CD8E7F" w14:textId="1B9359F5">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6009D5C6"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6009D5C6"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154112F7" w:rsidRDefault="45D8E078" w14:paraId="34D95126" w14:textId="78309FBB">
      <w:pPr>
        <w:rPr>
          <w:rFonts w:ascii="Century Gothic" w:hAnsi="Century Gothic"/>
          <w:b/>
          <w:bCs/>
          <w:sz w:val="24"/>
          <w:szCs w:val="24"/>
        </w:rPr>
      </w:pPr>
      <w:r w:rsidRPr="58CB052B" w:rsidR="45D8E078">
        <w:rPr>
          <w:rFonts w:ascii="Century Gothic" w:hAnsi="Century Gothic"/>
          <w:b w:val="1"/>
          <w:bCs w:val="1"/>
          <w:sz w:val="24"/>
          <w:szCs w:val="24"/>
        </w:rPr>
        <w:t>Finding Description</w:t>
      </w:r>
    </w:p>
    <w:p w:rsidRPr="00533EA6" w:rsidR="48BD0A10" w:rsidP="58CB052B" w:rsidRDefault="00533EA6" w14:paraId="605C6082" w14:textId="582A169A">
      <w:pPr>
        <w:pStyle w:val="Normal"/>
        <w:rPr/>
      </w:pPr>
      <w:r w:rsidRPr="58CB052B" w:rsidR="479D6306">
        <w:rPr>
          <w:rFonts w:ascii="Century Gothic" w:hAnsi="Century Gothic" w:eastAsia="Century Gothic" w:cs="Century Gothic"/>
          <w:noProof w:val="0"/>
          <w:sz w:val="22"/>
          <w:szCs w:val="22"/>
          <w:lang w:val="en-US"/>
        </w:rPr>
        <w:t xml:space="preserve">In the </w:t>
      </w:r>
      <w:r w:rsidRPr="58CB052B" w:rsidR="479D6306">
        <w:rPr>
          <w:rFonts w:ascii="Consolas" w:hAnsi="Consolas" w:eastAsia="Consolas" w:cs="Consolas"/>
          <w:noProof w:val="0"/>
          <w:sz w:val="22"/>
          <w:szCs w:val="22"/>
          <w:lang w:val="en-US"/>
        </w:rPr>
        <w:t>OverseerAssessment</w:t>
      </w:r>
      <w:r w:rsidRPr="58CB052B" w:rsidR="479D6306">
        <w:rPr>
          <w:rFonts w:ascii="Century Gothic" w:hAnsi="Century Gothic" w:eastAsia="Century Gothic" w:cs="Century Gothic"/>
          <w:noProof w:val="0"/>
          <w:sz w:val="22"/>
          <w:szCs w:val="22"/>
          <w:lang w:val="en-US"/>
        </w:rPr>
        <w:t xml:space="preserve"> class of the Ontrack application, there is a method named </w:t>
      </w:r>
      <w:r w:rsidRPr="58CB052B" w:rsidR="479D6306">
        <w:rPr>
          <w:rFonts w:ascii="Consolas" w:hAnsi="Consolas" w:eastAsia="Consolas" w:cs="Consolas"/>
          <w:noProof w:val="0"/>
          <w:sz w:val="22"/>
          <w:szCs w:val="22"/>
          <w:lang w:val="en-US"/>
        </w:rPr>
        <w:t>grant_access_to_submission</w:t>
      </w:r>
      <w:r w:rsidRPr="58CB052B" w:rsidR="479D6306">
        <w:rPr>
          <w:rFonts w:ascii="Century Gothic" w:hAnsi="Century Gothic" w:eastAsia="Century Gothic" w:cs="Century Gothic"/>
          <w:noProof w:val="0"/>
          <w:sz w:val="22"/>
          <w:szCs w:val="22"/>
          <w:lang w:val="en-US"/>
        </w:rPr>
        <w:t xml:space="preserve"> which executes a system command to modify file permissions. Specifically, the method uses </w:t>
      </w:r>
      <w:r w:rsidRPr="58CB052B" w:rsidR="479D6306">
        <w:rPr>
          <w:rFonts w:ascii="Consolas" w:hAnsi="Consolas" w:eastAsia="Consolas" w:cs="Consolas"/>
          <w:noProof w:val="0"/>
          <w:sz w:val="22"/>
          <w:szCs w:val="22"/>
          <w:lang w:val="en-US"/>
        </w:rPr>
        <w:t>chmod o+w</w:t>
      </w:r>
      <w:r w:rsidRPr="58CB052B" w:rsidR="479D6306">
        <w:rPr>
          <w:rFonts w:ascii="Century Gothic" w:hAnsi="Century Gothic" w:eastAsia="Century Gothic" w:cs="Century Gothic"/>
          <w:noProof w:val="0"/>
          <w:sz w:val="22"/>
          <w:szCs w:val="22"/>
          <w:lang w:val="en-US"/>
        </w:rPr>
        <w:t xml:space="preserve"> on the submission output directory, granting write permissions to all users. This practice can lead to unauthorized file modifications or access, as it allows any user on the system to write to this directory.</w:t>
      </w:r>
    </w:p>
    <w:p w:rsidRPr="00BE3237" w:rsidR="2953A169" w:rsidP="58CB052B" w:rsidRDefault="2953A169" w14:paraId="50911984" w14:textId="60DE9995">
      <w:pPr>
        <w:pStyle w:val="Normal"/>
        <w:rPr>
          <w:rFonts w:ascii="Century Gothic" w:hAnsi="Century Gothic"/>
          <w:b w:val="1"/>
          <w:bCs w:val="1"/>
        </w:rPr>
      </w:pPr>
      <w:r w:rsidRPr="58CB052B" w:rsidR="2953A169">
        <w:rPr>
          <w:rFonts w:ascii="Century Gothic" w:hAnsi="Century Gothic"/>
          <w:b w:val="1"/>
          <w:bCs w:val="1"/>
          <w:sz w:val="24"/>
          <w:szCs w:val="24"/>
        </w:rPr>
        <w:t>Risk Rating</w:t>
      </w:r>
      <w:r>
        <w:br/>
      </w:r>
      <w:r w:rsidRPr="58CB052B" w:rsidR="2953A169">
        <w:rPr>
          <w:rFonts w:ascii="Century Gothic" w:hAnsi="Century Gothic"/>
        </w:rPr>
        <w:t>Impact:</w:t>
      </w:r>
      <w:r w:rsidRPr="58CB052B" w:rsidR="17AC4292">
        <w:rPr>
          <w:rFonts w:ascii="Century Gothic" w:hAnsi="Century Gothic"/>
        </w:rPr>
        <w:t xml:space="preserve"> </w:t>
      </w:r>
      <w:r w:rsidRPr="58CB052B" w:rsidR="17AC4292">
        <w:rPr>
          <w:rFonts w:ascii="Century Gothic" w:hAnsi="Century Gothic"/>
          <w:b w:val="1"/>
          <w:bCs w:val="1"/>
        </w:rPr>
        <w:t>Major</w:t>
      </w:r>
      <w:r>
        <w:br/>
      </w:r>
      <w:r>
        <w:tab/>
      </w:r>
      <w:r w:rsidRPr="58CB052B" w:rsidR="74751EF2">
        <w:rPr>
          <w:rFonts w:ascii="Century Gothic" w:hAnsi="Century Gothic" w:eastAsia="Century Gothic" w:cs="Century Gothic"/>
          <w:noProof w:val="0"/>
          <w:sz w:val="22"/>
          <w:szCs w:val="22"/>
          <w:lang w:val="en-US"/>
        </w:rPr>
        <w:t>This vulnerability exposes student submissions and assessment feedback to unauthorized access or modification. Since it affects the integrity and confidentiality of sensitive data, it can significantly impede regular activity and damage the trust in the university's digital systems.</w:t>
      </w:r>
      <w:r>
        <w:br/>
      </w:r>
      <w:r>
        <w:br/>
      </w:r>
      <w:r w:rsidRPr="58CB052B" w:rsidR="40E462CF">
        <w:rPr>
          <w:rFonts w:ascii="Century Gothic" w:hAnsi="Century Gothic"/>
        </w:rPr>
        <w:t xml:space="preserve">Likelihood: </w:t>
      </w:r>
      <w:r w:rsidRPr="58CB052B" w:rsidR="6DF02243">
        <w:rPr>
          <w:rFonts w:ascii="Century Gothic" w:hAnsi="Century Gothic"/>
          <w:b w:val="1"/>
          <w:bCs w:val="1"/>
        </w:rPr>
        <w:t>Moderate</w:t>
      </w:r>
      <w:r>
        <w:br/>
      </w:r>
      <w:r>
        <w:tab/>
      </w:r>
      <w:r w:rsidRPr="58CB052B" w:rsidR="57B9069D">
        <w:rPr>
          <w:rFonts w:ascii="Century Gothic" w:hAnsi="Century Gothic" w:eastAsia="Century Gothic" w:cs="Century Gothic"/>
          <w:noProof w:val="0"/>
          <w:sz w:val="22"/>
          <w:szCs w:val="22"/>
          <w:lang w:val="en-US"/>
        </w:rPr>
        <w:t>Given that this vulnerability requires specific circumstances to be exploited (e.g., an attacker gaining access to the system), it's not certain but definitely possible, especially if attackers are aware of this flaw.</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59F88E79" w14:textId="77777777">
        <w:trPr>
          <w:trHeight w:val="300"/>
        </w:trPr>
        <w:tc>
          <w:tcPr>
            <w:tcW w:w="9000" w:type="dxa"/>
            <w:gridSpan w:val="5"/>
            <w:tcMar>
              <w:left w:w="105" w:type="dxa"/>
              <w:right w:w="105" w:type="dxa"/>
            </w:tcMar>
          </w:tcPr>
          <w:p w:rsidRPr="00BE3237" w:rsidR="6009D5C6" w:rsidP="6009D5C6" w:rsidRDefault="6009D5C6" w14:paraId="0A1BA377" w14:textId="1814EB91">
            <w:pPr>
              <w:spacing w:line="259" w:lineRule="auto"/>
              <w:jc w:val="center"/>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6009D5C6" w14:paraId="3924D0CB" w14:textId="77777777">
        <w:trPr>
          <w:trHeight w:val="300"/>
        </w:trPr>
        <w:tc>
          <w:tcPr>
            <w:tcW w:w="1800" w:type="dxa"/>
            <w:shd w:val="clear" w:color="auto" w:fill="00B0F0"/>
            <w:tcMar>
              <w:left w:w="105" w:type="dxa"/>
              <w:right w:w="105" w:type="dxa"/>
            </w:tcMar>
          </w:tcPr>
          <w:p w:rsidRPr="00BE3237" w:rsidR="6009D5C6" w:rsidP="6009D5C6" w:rsidRDefault="6009D5C6" w14:paraId="068DFE44" w14:textId="083D6C6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6009D5C6" w:rsidRDefault="6009D5C6" w14:paraId="7BBC778C" w14:textId="1B84B4D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6009D5C6" w:rsidRDefault="6009D5C6" w14:paraId="06DD3453" w14:textId="483E45C2">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6009D5C6" w:rsidRDefault="6009D5C6" w14:paraId="6E3A0B1D" w14:textId="31A73DA9">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6009D5C6" w:rsidRDefault="6009D5C6" w14:paraId="6DABEA98" w14:textId="1246DC17">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6009D5C6" w14:paraId="31C095A2" w14:textId="77777777">
        <w:trPr>
          <w:trHeight w:val="300"/>
        </w:trPr>
        <w:tc>
          <w:tcPr>
            <w:tcW w:w="1800" w:type="dxa"/>
            <w:tcMar>
              <w:left w:w="105" w:type="dxa"/>
              <w:right w:w="105" w:type="dxa"/>
            </w:tcMar>
          </w:tcPr>
          <w:p w:rsidRPr="00BE3237" w:rsidR="6009D5C6" w:rsidP="6009D5C6" w:rsidRDefault="6009D5C6" w14:paraId="41E60F7E" w14:textId="689C59D0">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6009D5C6" w:rsidRDefault="6009D5C6" w14:paraId="1135681A" w14:textId="529300A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rsidRPr="00BE3237" w:rsidR="6009D5C6" w:rsidP="6009D5C6" w:rsidRDefault="6009D5C6" w14:paraId="54CBCCCD" w14:textId="68EF6A38">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6009D5C6" w:rsidRDefault="6009D5C6" w14:paraId="0757C7A1" w14:textId="3A02789D">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6009D5C6" w:rsidRDefault="6009D5C6" w14:paraId="1D674ADC" w14:textId="178667F7">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6009D5C6" w:rsidRDefault="6009D5C6" w14:paraId="5AD1EB83" w14:textId="52EB6AF0">
      <w:pPr>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20F5C51D" w14:textId="77777777">
        <w:trPr>
          <w:trHeight w:val="300"/>
        </w:trPr>
        <w:tc>
          <w:tcPr>
            <w:tcW w:w="9000" w:type="dxa"/>
            <w:gridSpan w:val="5"/>
            <w:tcMar>
              <w:left w:w="105" w:type="dxa"/>
              <w:right w:w="105" w:type="dxa"/>
            </w:tcMar>
          </w:tcPr>
          <w:p w:rsidRPr="00BE3237" w:rsidR="6009D5C6" w:rsidP="6009D5C6" w:rsidRDefault="6009D5C6" w14:paraId="4AC0BDA1" w14:textId="39CAFD64">
            <w:pPr>
              <w:spacing w:line="259" w:lineRule="auto"/>
              <w:jc w:val="center"/>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6009D5C6" w14:paraId="6DD646EF" w14:textId="77777777">
        <w:trPr>
          <w:trHeight w:val="300"/>
        </w:trPr>
        <w:tc>
          <w:tcPr>
            <w:tcW w:w="1800" w:type="dxa"/>
            <w:shd w:val="clear" w:color="auto" w:fill="00B0F0"/>
            <w:tcMar>
              <w:left w:w="105" w:type="dxa"/>
              <w:right w:w="105" w:type="dxa"/>
            </w:tcMar>
          </w:tcPr>
          <w:p w:rsidRPr="00BE3237" w:rsidR="6009D5C6" w:rsidP="6009D5C6" w:rsidRDefault="6009D5C6" w14:paraId="3198CEC2" w14:textId="0238FDB5">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6009D5C6" w:rsidRDefault="6009D5C6" w14:paraId="3CCC0FC6" w14:textId="4514BF24">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6009D5C6" w:rsidRDefault="6009D5C6" w14:paraId="08A163A9" w14:textId="33115B3B">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6009D5C6" w:rsidRDefault="6009D5C6" w14:paraId="67E6575C" w14:textId="6084CC28">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6009D5C6" w:rsidRDefault="6009D5C6" w14:paraId="03524C87" w14:textId="1CFAD39E">
            <w:pPr>
              <w:spacing w:line="259" w:lineRule="auto"/>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6009D5C6" w14:paraId="7E454566" w14:textId="77777777">
        <w:trPr>
          <w:trHeight w:val="300"/>
        </w:trPr>
        <w:tc>
          <w:tcPr>
            <w:tcW w:w="1800" w:type="dxa"/>
            <w:tcMar>
              <w:left w:w="105" w:type="dxa"/>
              <w:right w:w="105" w:type="dxa"/>
            </w:tcMar>
          </w:tcPr>
          <w:p w:rsidRPr="00BE3237" w:rsidR="6009D5C6" w:rsidP="6009D5C6" w:rsidRDefault="6009D5C6" w14:paraId="3CA8DFFB" w14:textId="1EACBEF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may occur and/or if it did, it happens in </w:t>
            </w:r>
            <w:r w:rsidRPr="00BE3237">
              <w:rPr>
                <w:rFonts w:ascii="Century Gothic" w:hAnsi="Century Gothic" w:eastAsia="Calibri" w:cs="Calibri"/>
                <w:sz w:val="20"/>
                <w:szCs w:val="20"/>
                <w:lang w:val="en-AU"/>
              </w:rPr>
              <w:t>specific circumstances. </w:t>
            </w:r>
          </w:p>
        </w:tc>
        <w:tc>
          <w:tcPr>
            <w:tcW w:w="1800" w:type="dxa"/>
            <w:tcMar>
              <w:left w:w="105" w:type="dxa"/>
              <w:right w:w="105" w:type="dxa"/>
            </w:tcMar>
          </w:tcPr>
          <w:p w:rsidRPr="00BE3237" w:rsidR="6009D5C6" w:rsidP="6009D5C6" w:rsidRDefault="6009D5C6" w14:paraId="7D021DE4" w14:textId="3581CF85">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could occur occasionally and/or could </w:t>
            </w:r>
            <w:r w:rsidRPr="00BE3237">
              <w:rPr>
                <w:rFonts w:ascii="Century Gothic" w:hAnsi="Century Gothic" w:eastAsia="Calibri" w:cs="Calibri"/>
                <w:sz w:val="20"/>
                <w:szCs w:val="20"/>
                <w:lang w:val="en-AU"/>
              </w:rPr>
              <w:t>happen (at some point) </w:t>
            </w:r>
          </w:p>
        </w:tc>
        <w:tc>
          <w:tcPr>
            <w:tcW w:w="1800" w:type="dxa"/>
            <w:tcMar>
              <w:left w:w="105" w:type="dxa"/>
              <w:right w:w="105" w:type="dxa"/>
            </w:tcMar>
          </w:tcPr>
          <w:p w:rsidRPr="00BE3237" w:rsidR="6009D5C6" w:rsidP="6009D5C6" w:rsidRDefault="6009D5C6" w14:paraId="2ACA7D49" w14:textId="00DEA8EA">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may occur and/or happens. </w:t>
            </w:r>
          </w:p>
        </w:tc>
        <w:tc>
          <w:tcPr>
            <w:tcW w:w="1800" w:type="dxa"/>
            <w:tcMar>
              <w:left w:w="105" w:type="dxa"/>
              <w:right w:w="105" w:type="dxa"/>
            </w:tcMar>
          </w:tcPr>
          <w:p w:rsidRPr="00BE3237" w:rsidR="6009D5C6" w:rsidP="6009D5C6" w:rsidRDefault="6009D5C6" w14:paraId="42FECC20" w14:textId="3DC160E1">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occurs at times and/or probably happens a lot. </w:t>
            </w:r>
          </w:p>
        </w:tc>
        <w:tc>
          <w:tcPr>
            <w:tcW w:w="1800" w:type="dxa"/>
            <w:tcMar>
              <w:left w:w="105" w:type="dxa"/>
              <w:right w:w="105" w:type="dxa"/>
            </w:tcMar>
          </w:tcPr>
          <w:p w:rsidRPr="00BE3237" w:rsidR="6009D5C6" w:rsidP="6009D5C6" w:rsidRDefault="6009D5C6" w14:paraId="71EBB1DD" w14:textId="621A3EA4">
            <w:pPr>
              <w:spacing w:line="259" w:lineRule="auto"/>
              <w:rPr>
                <w:rFonts w:ascii="Century Gothic" w:hAnsi="Century Gothic" w:eastAsia="Calibri" w:cs="Calibri"/>
                <w:sz w:val="20"/>
                <w:szCs w:val="20"/>
              </w:rPr>
            </w:pPr>
            <w:r w:rsidRPr="00BE3237">
              <w:rPr>
                <w:rFonts w:ascii="Century Gothic" w:hAnsi="Century Gothic" w:eastAsia="Calibri" w:cs="Calibri"/>
                <w:sz w:val="20"/>
                <w:szCs w:val="20"/>
                <w:lang w:val="en-AU"/>
              </w:rPr>
              <w:t>Event is occurring now and/or happens frequently. </w:t>
            </w:r>
          </w:p>
        </w:tc>
      </w:tr>
    </w:tbl>
    <w:p w:rsidRPr="00BE3237" w:rsidR="6009D5C6" w:rsidP="6009D5C6" w:rsidRDefault="6009D5C6" w14:paraId="3826AE37" w14:textId="3009E2ED">
      <w:pPr>
        <w:rPr>
          <w:rFonts w:ascii="Century Gothic" w:hAnsi="Century Gothic" w:eastAsia="Calibri" w:cs="Calibri"/>
          <w:color w:val="000000" w:themeColor="text1"/>
        </w:rPr>
      </w:pPr>
    </w:p>
    <w:p w:rsidRPr="00BE3237" w:rsidR="589BB971" w:rsidP="6009D5C6" w:rsidRDefault="589BB971" w14:paraId="5E37D020" w14:textId="55A1ED07">
      <w:pPr>
        <w:rPr>
          <w:rFonts w:ascii="Century Gothic" w:hAnsi="Century Gothic" w:eastAsia="Calibri" w:cs="Calibri"/>
          <w:b/>
          <w:bCs/>
          <w:color w:val="000000" w:themeColor="text1"/>
          <w:sz w:val="24"/>
          <w:szCs w:val="24"/>
        </w:rPr>
      </w:pPr>
      <w:r w:rsidRPr="58CB052B" w:rsidR="589BB971">
        <w:rPr>
          <w:rFonts w:ascii="Century Gothic" w:hAnsi="Century Gothic" w:eastAsia="Calibri" w:cs="Calibri"/>
          <w:b w:val="1"/>
          <w:bCs w:val="1"/>
          <w:color w:val="000000" w:themeColor="text1" w:themeTint="FF" w:themeShade="FF"/>
          <w:sz w:val="24"/>
          <w:szCs w:val="24"/>
        </w:rPr>
        <w:t>Business Impact</w:t>
      </w:r>
    </w:p>
    <w:p w:rsidR="28FAA9DB" w:rsidP="58CB052B" w:rsidRDefault="28FAA9DB" w14:paraId="45FC6757" w14:textId="2953253B">
      <w:pPr>
        <w:pStyle w:val="Normal"/>
        <w:rPr/>
      </w:pPr>
      <w:r w:rsidRPr="58CB052B" w:rsidR="28FAA9DB">
        <w:rPr>
          <w:rFonts w:ascii="Century Gothic" w:hAnsi="Century Gothic" w:eastAsia="Century Gothic" w:cs="Century Gothic"/>
          <w:noProof w:val="0"/>
          <w:sz w:val="22"/>
          <w:szCs w:val="22"/>
          <w:lang w:val="en-US"/>
        </w:rPr>
        <w:t>The business impact of this vulnerability is significant. By allowing write access to all users, sensitive data related to student assessments and feedback could be exposed, altered, or deleted. This not only compromises the confidentiality and integrity of the data but also risks the reputation of the educational institution using the Ontrack application. Furthermore, if an attacker exploits this vulnerability, it could lead to a breach of trust between the university and its students or potentially legal consequences if personal data is mishandled.</w:t>
      </w:r>
    </w:p>
    <w:p w:rsidRPr="00BE3237" w:rsidR="5994D52E" w:rsidP="6009D5C6" w:rsidRDefault="5994D52E" w14:paraId="7253CF2E" w14:textId="77C2C8A0">
      <w:pPr>
        <w:rPr>
          <w:rFonts w:ascii="Century Gothic" w:hAnsi="Century Gothic" w:eastAsia="Calibri" w:cs="Calibri"/>
          <w:b/>
          <w:bCs/>
          <w:color w:val="000000" w:themeColor="text1"/>
          <w:sz w:val="24"/>
          <w:szCs w:val="24"/>
        </w:rPr>
      </w:pPr>
      <w:r w:rsidRPr="58CB052B" w:rsidR="5994D52E">
        <w:rPr>
          <w:rFonts w:ascii="Century Gothic" w:hAnsi="Century Gothic" w:eastAsia="Calibri" w:cs="Calibri"/>
          <w:b w:val="1"/>
          <w:bCs w:val="1"/>
          <w:color w:val="000000" w:themeColor="text1" w:themeTint="FF" w:themeShade="FF"/>
          <w:sz w:val="24"/>
          <w:szCs w:val="24"/>
        </w:rPr>
        <w:t>Affected Assets</w:t>
      </w:r>
    </w:p>
    <w:p w:rsidR="14F60CF5" w:rsidP="58CB052B" w:rsidRDefault="14F60CF5" w14:paraId="5B20A8A2" w14:textId="1AC42E96">
      <w:pPr>
        <w:pStyle w:val="Normal"/>
        <w:rPr>
          <w:rFonts w:ascii="Century Gothic" w:hAnsi="Century Gothic" w:eastAsia="Century Gothic" w:cs="Century Gothic"/>
          <w:noProof w:val="0"/>
          <w:sz w:val="22"/>
          <w:szCs w:val="22"/>
          <w:lang w:val="en-US"/>
        </w:rPr>
      </w:pPr>
      <w:r w:rsidRPr="58CB052B" w:rsidR="14F60CF5">
        <w:rPr>
          <w:rFonts w:ascii="Century Gothic" w:hAnsi="Century Gothic" w:eastAsia="Century Gothic" w:cs="Century Gothic"/>
          <w:noProof w:val="0"/>
          <w:sz w:val="22"/>
          <w:szCs w:val="22"/>
          <w:lang w:val="en-US"/>
        </w:rPr>
        <w:t xml:space="preserve">The affected asset is the Ontrack application, specifically the </w:t>
      </w:r>
      <w:r w:rsidRPr="58CB052B" w:rsidR="14F60CF5">
        <w:rPr>
          <w:rFonts w:ascii="Consolas" w:hAnsi="Consolas" w:eastAsia="Consolas" w:cs="Consolas"/>
          <w:noProof w:val="0"/>
          <w:sz w:val="22"/>
          <w:szCs w:val="22"/>
          <w:lang w:val="en-US"/>
        </w:rPr>
        <w:t>OverseerAssessment</w:t>
      </w:r>
      <w:r w:rsidRPr="58CB052B" w:rsidR="14F60CF5">
        <w:rPr>
          <w:rFonts w:ascii="Century Gothic" w:hAnsi="Century Gothic" w:eastAsia="Century Gothic" w:cs="Century Gothic"/>
          <w:noProof w:val="0"/>
          <w:sz w:val="22"/>
          <w:szCs w:val="22"/>
          <w:lang w:val="en-US"/>
        </w:rPr>
        <w:t xml:space="preserve"> class within the Ruby on Rails backend </w:t>
      </w:r>
      <w:r w:rsidRPr="58CB052B" w:rsidR="14F60CF5">
        <w:rPr>
          <w:rFonts w:ascii="Century Gothic" w:hAnsi="Century Gothic" w:eastAsia="Century Gothic" w:cs="Century Gothic"/>
          <w:noProof w:val="0"/>
          <w:sz w:val="22"/>
          <w:szCs w:val="22"/>
          <w:lang w:val="en-US"/>
        </w:rPr>
        <w:t xml:space="preserve">at </w:t>
      </w:r>
      <w:r w:rsidRPr="58CB052B" w:rsidR="14F60CF5">
        <w:rPr>
          <w:rFonts w:ascii="Consolas" w:hAnsi="Consolas" w:eastAsia="Consolas" w:cs="Consolas"/>
          <w:noProof w:val="0"/>
          <w:sz w:val="22"/>
          <w:szCs w:val="22"/>
          <w:lang w:val="en-US"/>
        </w:rPr>
        <w:t>.</w:t>
      </w:r>
      <w:r w:rsidRPr="58CB052B" w:rsidR="14F60CF5">
        <w:rPr>
          <w:rFonts w:ascii="Consolas" w:hAnsi="Consolas" w:eastAsia="Consolas" w:cs="Consolas"/>
          <w:noProof w:val="0"/>
          <w:sz w:val="22"/>
          <w:szCs w:val="22"/>
          <w:lang w:val="en-US"/>
        </w:rPr>
        <w:t>/</w:t>
      </w:r>
      <w:r w:rsidRPr="58CB052B" w:rsidR="14F60CF5">
        <w:rPr>
          <w:rFonts w:ascii="Consolas" w:hAnsi="Consolas" w:eastAsia="Consolas" w:cs="Consolas"/>
          <w:noProof w:val="0"/>
          <w:sz w:val="22"/>
          <w:szCs w:val="22"/>
          <w:lang w:val="en-US"/>
        </w:rPr>
        <w:t>doubtfire-api</w:t>
      </w:r>
      <w:r w:rsidRPr="58CB052B" w:rsidR="14F60CF5">
        <w:rPr>
          <w:rFonts w:ascii="Consolas" w:hAnsi="Consolas" w:eastAsia="Consolas" w:cs="Consolas"/>
          <w:noProof w:val="0"/>
          <w:sz w:val="22"/>
          <w:szCs w:val="22"/>
          <w:lang w:val="en-US"/>
        </w:rPr>
        <w:t>/app/modals/overseer_assessment.rb</w:t>
      </w:r>
      <w:r w:rsidRPr="58CB052B" w:rsidR="14F60CF5">
        <w:rPr>
          <w:rFonts w:ascii="Century Gothic" w:hAnsi="Century Gothic" w:eastAsia="Century Gothic" w:cs="Century Gothic"/>
          <w:noProof w:val="0"/>
          <w:sz w:val="22"/>
          <w:szCs w:val="22"/>
          <w:lang w:val="en-US"/>
        </w:rPr>
        <w:t xml:space="preserve">. The output directory where student submissions are stored is the primary concern, as this is where the </w:t>
      </w:r>
      <w:r w:rsidRPr="58CB052B" w:rsidR="14F60CF5">
        <w:rPr>
          <w:rFonts w:ascii="Century Gothic" w:hAnsi="Century Gothic" w:eastAsia="Century Gothic" w:cs="Century Gothic"/>
          <w:noProof w:val="0"/>
          <w:sz w:val="22"/>
          <w:szCs w:val="22"/>
          <w:lang w:val="en-US"/>
        </w:rPr>
        <w:t>insecure</w:t>
      </w:r>
      <w:r w:rsidRPr="58CB052B" w:rsidR="14F60CF5">
        <w:rPr>
          <w:rFonts w:ascii="Century Gothic" w:hAnsi="Century Gothic" w:eastAsia="Century Gothic" w:cs="Century Gothic"/>
          <w:noProof w:val="0"/>
          <w:sz w:val="22"/>
          <w:szCs w:val="22"/>
          <w:lang w:val="en-US"/>
        </w:rPr>
        <w:t xml:space="preserve"> permissions are applied.</w:t>
      </w:r>
    </w:p>
    <w:p w:rsidR="5994D52E" w:rsidP="6009D5C6" w:rsidRDefault="5994D52E" w14:paraId="69B7DB13" w14:textId="7D947FB1">
      <w:pPr>
        <w:rPr>
          <w:rFonts w:ascii="Century Gothic" w:hAnsi="Century Gothic" w:eastAsia="Calibri" w:cs="Calibri"/>
          <w:b/>
          <w:bCs/>
          <w:color w:val="000000" w:themeColor="text1"/>
          <w:sz w:val="24"/>
          <w:szCs w:val="24"/>
        </w:rPr>
      </w:pPr>
      <w:r w:rsidRPr="58CB052B" w:rsidR="5994D52E">
        <w:rPr>
          <w:rFonts w:ascii="Century Gothic" w:hAnsi="Century Gothic" w:eastAsia="Calibri" w:cs="Calibri"/>
          <w:b w:val="1"/>
          <w:bCs w:val="1"/>
          <w:color w:val="000000" w:themeColor="text1" w:themeTint="FF" w:themeShade="FF"/>
          <w:sz w:val="24"/>
          <w:szCs w:val="24"/>
        </w:rPr>
        <w:t>Evidence</w:t>
      </w:r>
    </w:p>
    <w:p w:rsidR="5CB7BE27" w:rsidP="58CB052B" w:rsidRDefault="5CB7BE27" w14:paraId="61B7284A" w14:textId="588819BB">
      <w:pPr>
        <w:spacing w:before="240" w:beforeAutospacing="off" w:after="240" w:afterAutospacing="off"/>
        <w:rPr/>
      </w:pPr>
      <w:r w:rsidRPr="58CB052B" w:rsidR="5CB7BE27">
        <w:rPr>
          <w:rFonts w:ascii="Century Gothic" w:hAnsi="Century Gothic" w:eastAsia="Century Gothic" w:cs="Century Gothic"/>
          <w:noProof w:val="0"/>
          <w:sz w:val="22"/>
          <w:szCs w:val="22"/>
          <w:lang w:val="en-US"/>
        </w:rPr>
        <w:t xml:space="preserve">The vulnerability is evidenced in the </w:t>
      </w:r>
      <w:r w:rsidRPr="58CB052B" w:rsidR="5CB7BE27">
        <w:rPr>
          <w:rFonts w:ascii="Consolas" w:hAnsi="Consolas" w:eastAsia="Consolas" w:cs="Consolas"/>
          <w:noProof w:val="0"/>
          <w:sz w:val="22"/>
          <w:szCs w:val="22"/>
          <w:lang w:val="en-US"/>
        </w:rPr>
        <w:t>grant_access_to_submission</w:t>
      </w:r>
      <w:r w:rsidRPr="58CB052B" w:rsidR="5CB7BE27">
        <w:rPr>
          <w:rFonts w:ascii="Century Gothic" w:hAnsi="Century Gothic" w:eastAsia="Century Gothic" w:cs="Century Gothic"/>
          <w:noProof w:val="0"/>
          <w:sz w:val="22"/>
          <w:szCs w:val="22"/>
          <w:lang w:val="en-US"/>
        </w:rPr>
        <w:t xml:space="preserve"> method of the </w:t>
      </w:r>
      <w:r w:rsidRPr="58CB052B" w:rsidR="5CB7BE27">
        <w:rPr>
          <w:rFonts w:ascii="Consolas" w:hAnsi="Consolas" w:eastAsia="Consolas" w:cs="Consolas"/>
          <w:noProof w:val="0"/>
          <w:sz w:val="22"/>
          <w:szCs w:val="22"/>
          <w:lang w:val="en-US"/>
        </w:rPr>
        <w:t>OverseerAssessment</w:t>
      </w:r>
      <w:r w:rsidRPr="58CB052B" w:rsidR="5CB7BE27">
        <w:rPr>
          <w:rFonts w:ascii="Century Gothic" w:hAnsi="Century Gothic" w:eastAsia="Century Gothic" w:cs="Century Gothic"/>
          <w:noProof w:val="0"/>
          <w:sz w:val="22"/>
          <w:szCs w:val="22"/>
          <w:lang w:val="en-US"/>
        </w:rPr>
        <w:t xml:space="preserve"> class. The method's implementation uses a system call to change the directory permissions, making it writable by all users:</w:t>
      </w:r>
    </w:p>
    <w:p w:rsidR="5CB7BE27" w:rsidP="58CB052B" w:rsidRDefault="5CB7BE27" w14:paraId="3205D5F6" w14:textId="7661E12B">
      <w:pPr>
        <w:spacing w:before="0" w:beforeAutospacing="off" w:after="0" w:afterAutospacing="off"/>
        <w:rPr/>
      </w:pPr>
      <w:r w:rsidRPr="58CB052B" w:rsidR="5CB7BE27">
        <w:rPr>
          <w:rFonts w:ascii="Consolas" w:hAnsi="Consolas" w:eastAsia="Consolas" w:cs="Consolas"/>
          <w:noProof w:val="0"/>
          <w:sz w:val="22"/>
          <w:szCs w:val="22"/>
          <w:lang w:val="en-US"/>
        </w:rPr>
        <w:t>ruby</w:t>
      </w:r>
    </w:p>
    <w:p w:rsidR="5CB7BE27" w:rsidP="58CB052B" w:rsidRDefault="5CB7BE27" w14:paraId="2F28A485" w14:textId="71C76A3A">
      <w:pPr>
        <w:spacing w:before="0" w:beforeAutospacing="off" w:after="0" w:afterAutospacing="off"/>
        <w:rPr>
          <w:rFonts w:ascii="Consolas" w:hAnsi="Consolas" w:eastAsia="Consolas" w:cs="Consolas"/>
          <w:noProof w:val="0"/>
          <w:sz w:val="22"/>
          <w:szCs w:val="22"/>
          <w:lang w:val="en-US"/>
        </w:rPr>
      </w:pPr>
      <w:r w:rsidRPr="58CB052B" w:rsidR="5CB7BE27">
        <w:rPr>
          <w:rFonts w:ascii="Consolas" w:hAnsi="Consolas" w:eastAsia="Consolas" w:cs="Consolas"/>
          <w:noProof w:val="0"/>
          <w:sz w:val="22"/>
          <w:szCs w:val="22"/>
          <w:lang w:val="en-US"/>
        </w:rPr>
        <w:t>def grant_access_to_submission</w:t>
      </w:r>
      <w:r>
        <w:br/>
      </w:r>
      <w:r w:rsidRPr="58CB052B" w:rsidR="5CB7BE27">
        <w:rPr>
          <w:rFonts w:ascii="Consolas" w:hAnsi="Consolas" w:eastAsia="Consolas" w:cs="Consolas"/>
          <w:noProof w:val="0"/>
          <w:sz w:val="22"/>
          <w:szCs w:val="22"/>
          <w:lang w:val="en-US"/>
        </w:rPr>
        <w:t xml:space="preserve">  `chmod o+w #{output_path}`</w:t>
      </w:r>
      <w:r>
        <w:br/>
      </w:r>
      <w:r w:rsidRPr="58CB052B" w:rsidR="5CB7BE27">
        <w:rPr>
          <w:rFonts w:ascii="Consolas" w:hAnsi="Consolas" w:eastAsia="Consolas" w:cs="Consolas"/>
          <w:noProof w:val="0"/>
          <w:sz w:val="22"/>
          <w:szCs w:val="22"/>
          <w:lang w:val="en-US"/>
        </w:rPr>
        <w:t>end</w:t>
      </w:r>
      <w:r>
        <w:br/>
      </w:r>
    </w:p>
    <w:p w:rsidR="5CB7BE27" w:rsidP="58CB052B" w:rsidRDefault="5CB7BE27" w14:paraId="73596941" w14:textId="0FFAA706">
      <w:pPr>
        <w:spacing w:before="240" w:beforeAutospacing="off" w:after="240" w:afterAutospacing="off"/>
        <w:rPr/>
      </w:pPr>
      <w:r w:rsidRPr="58CB052B" w:rsidR="5CB7BE27">
        <w:rPr>
          <w:rFonts w:ascii="Century Gothic" w:hAnsi="Century Gothic" w:eastAsia="Century Gothic" w:cs="Century Gothic"/>
          <w:noProof w:val="0"/>
          <w:sz w:val="22"/>
          <w:szCs w:val="22"/>
          <w:lang w:val="en-US"/>
        </w:rPr>
        <w:t>This code snippet clearly demonstrates the insecure permission setting on the submission output directory.</w:t>
      </w:r>
    </w:p>
    <w:p w:rsidR="58CB052B" w:rsidP="58CB052B" w:rsidRDefault="58CB052B" w14:paraId="515DBB6E" w14:textId="3DAB366B">
      <w:pPr>
        <w:pStyle w:val="Normal"/>
        <w:rPr>
          <w:rFonts w:ascii="Century Gothic" w:hAnsi="Century Gothic" w:eastAsia="Calibri" w:cs="Calibri"/>
          <w:b w:val="1"/>
          <w:bCs w:val="1"/>
          <w:color w:val="0070C0"/>
        </w:rPr>
      </w:pPr>
    </w:p>
    <w:p w:rsidR="5CB7BE27" w:rsidP="58CB052B" w:rsidRDefault="5CB7BE27" w14:paraId="6ACB6A13" w14:textId="4D0BF611">
      <w:pPr>
        <w:pStyle w:val="Normal"/>
        <w:jc w:val="center"/>
        <w:rPr/>
      </w:pPr>
      <w:r w:rsidR="5CB7BE27">
        <w:drawing>
          <wp:inline wp14:editId="4F5756E1" wp14:anchorId="2662D167">
            <wp:extent cx="5430009" cy="1143160"/>
            <wp:effectExtent l="0" t="0" r="0" b="0"/>
            <wp:docPr id="90770373" name="" title=""/>
            <wp:cNvGraphicFramePr>
              <a:graphicFrameLocks noChangeAspect="1"/>
            </wp:cNvGraphicFramePr>
            <a:graphic>
              <a:graphicData uri="http://schemas.openxmlformats.org/drawingml/2006/picture">
                <pic:pic>
                  <pic:nvPicPr>
                    <pic:cNvPr id="0" name=""/>
                    <pic:cNvPicPr/>
                  </pic:nvPicPr>
                  <pic:blipFill>
                    <a:blip r:embed="R4b0a1830d5934e37">
                      <a:extLst>
                        <a:ext xmlns:a="http://schemas.openxmlformats.org/drawingml/2006/main" uri="{28A0092B-C50C-407E-A947-70E740481C1C}">
                          <a14:useLocalDpi val="0"/>
                        </a:ext>
                      </a:extLst>
                    </a:blip>
                    <a:stretch>
                      <a:fillRect/>
                    </a:stretch>
                  </pic:blipFill>
                  <pic:spPr>
                    <a:xfrm>
                      <a:off x="0" y="0"/>
                      <a:ext cx="5430009" cy="1143160"/>
                    </a:xfrm>
                    <a:prstGeom prst="rect">
                      <a:avLst/>
                    </a:prstGeom>
                  </pic:spPr>
                </pic:pic>
              </a:graphicData>
            </a:graphic>
          </wp:inline>
        </w:drawing>
      </w:r>
    </w:p>
    <w:p w:rsidRPr="00BE3237" w:rsidR="6009D5C6" w:rsidP="6009D5C6" w:rsidRDefault="6009D5C6" w14:paraId="6ED60111" w14:textId="1CFCE064">
      <w:pPr>
        <w:rPr>
          <w:rFonts w:ascii="Century Gothic" w:hAnsi="Century Gothic" w:eastAsia="Calibri" w:cs="Calibri"/>
          <w:b/>
          <w:bCs/>
          <w:color w:val="000000" w:themeColor="text1"/>
        </w:rPr>
      </w:pPr>
    </w:p>
    <w:p w:rsidR="5994D52E" w:rsidP="6009D5C6" w:rsidRDefault="5994D52E" w14:paraId="13995464" w14:textId="6AD46832">
      <w:pPr>
        <w:rPr>
          <w:rFonts w:ascii="Century Gothic" w:hAnsi="Century Gothic" w:eastAsia="Calibri" w:cs="Calibri"/>
          <w:b/>
          <w:bCs/>
          <w:color w:val="000000" w:themeColor="text1"/>
          <w:sz w:val="24"/>
          <w:szCs w:val="24"/>
        </w:rPr>
      </w:pPr>
      <w:r w:rsidRPr="58CB052B" w:rsidR="5994D52E">
        <w:rPr>
          <w:rFonts w:ascii="Century Gothic" w:hAnsi="Century Gothic" w:eastAsia="Calibri" w:cs="Calibri"/>
          <w:b w:val="1"/>
          <w:bCs w:val="1"/>
          <w:color w:val="000000" w:themeColor="text1" w:themeTint="FF" w:themeShade="FF"/>
          <w:sz w:val="24"/>
          <w:szCs w:val="24"/>
        </w:rPr>
        <w:t>Remediation Advice</w:t>
      </w:r>
    </w:p>
    <w:p w:rsidRPr="00BE3237" w:rsidR="6009D5C6" w:rsidP="58CB052B" w:rsidRDefault="6009D5C6" w14:paraId="7BF24CA9" w14:textId="490FAF0D">
      <w:pPr>
        <w:spacing w:before="240" w:beforeAutospacing="off" w:after="240" w:afterAutospacing="off"/>
        <w:rPr>
          <w:rFonts w:ascii="Century Gothic" w:hAnsi="Century Gothic" w:eastAsia="Century Gothic" w:cs="Century Gothic"/>
          <w:noProof w:val="0"/>
          <w:sz w:val="20"/>
          <w:szCs w:val="20"/>
          <w:lang w:val="en-US"/>
        </w:rPr>
      </w:pPr>
      <w:r w:rsidRPr="58CB052B" w:rsidR="2A5BD39C">
        <w:rPr>
          <w:rFonts w:ascii="Century Gothic" w:hAnsi="Century Gothic" w:eastAsia="Century Gothic" w:cs="Century Gothic"/>
          <w:noProof w:val="0"/>
          <w:sz w:val="22"/>
          <w:szCs w:val="22"/>
          <w:lang w:val="en-US"/>
        </w:rPr>
        <w:t xml:space="preserve">To remediate this vulnerability, the application should implement more restrictive file permissions. Instead of granting </w:t>
      </w:r>
      <w:r w:rsidRPr="58CB052B" w:rsidR="2A5BD39C">
        <w:rPr>
          <w:rFonts w:ascii="Century Gothic" w:hAnsi="Century Gothic" w:eastAsia="Century Gothic" w:cs="Century Gothic"/>
          <w:noProof w:val="0"/>
          <w:sz w:val="22"/>
          <w:szCs w:val="22"/>
          <w:lang w:val="en-US"/>
        </w:rPr>
        <w:t>write</w:t>
      </w:r>
      <w:r w:rsidRPr="58CB052B" w:rsidR="2A5BD39C">
        <w:rPr>
          <w:rFonts w:ascii="Century Gothic" w:hAnsi="Century Gothic" w:eastAsia="Century Gothic" w:cs="Century Gothic"/>
          <w:noProof w:val="0"/>
          <w:sz w:val="22"/>
          <w:szCs w:val="22"/>
          <w:lang w:val="en-US"/>
        </w:rPr>
        <w:t xml:space="preserve"> access to all users, permissions should be limited to only the application and specific users who need access. A more secure approach would be to use file access control lists (FACLs</w:t>
      </w:r>
      <w:r w:rsidRPr="58CB052B" w:rsidR="256D1654">
        <w:rPr>
          <w:rFonts w:ascii="Century Gothic" w:hAnsi="Century Gothic" w:eastAsia="Century Gothic" w:cs="Century Gothic"/>
          <w:noProof w:val="0"/>
          <w:sz w:val="22"/>
          <w:szCs w:val="22"/>
          <w:lang w:val="en-US"/>
        </w:rPr>
        <w:t>, as noted in a comment within the code</w:t>
      </w:r>
      <w:r w:rsidRPr="58CB052B" w:rsidR="2A5BD39C">
        <w:rPr>
          <w:rFonts w:ascii="Century Gothic" w:hAnsi="Century Gothic" w:eastAsia="Century Gothic" w:cs="Century Gothic"/>
          <w:noProof w:val="0"/>
          <w:sz w:val="22"/>
          <w:szCs w:val="22"/>
          <w:lang w:val="en-US"/>
        </w:rPr>
        <w:t>) or similar mechanisms to finely control access permissions. Additionally, conducting a thorough audit of file permissions throughout the application to ensure that they follow the principle of least privilege can prevent similar vulnerabilities.</w:t>
      </w:r>
    </w:p>
    <w:p w:rsidR="1E172337" w:rsidP="6009D5C6" w:rsidRDefault="1E172337" w14:paraId="7B1F8889" w14:textId="4E8BC41E">
      <w:pPr>
        <w:rPr>
          <w:rFonts w:ascii="Century Gothic" w:hAnsi="Century Gothic" w:eastAsia="Calibri" w:cs="Calibri"/>
          <w:b/>
          <w:bCs/>
          <w:color w:val="000000" w:themeColor="text1"/>
          <w:sz w:val="24"/>
          <w:szCs w:val="24"/>
        </w:rPr>
      </w:pPr>
      <w:r w:rsidRPr="58CB052B" w:rsidR="1E172337">
        <w:rPr>
          <w:rFonts w:ascii="Century Gothic" w:hAnsi="Century Gothic" w:eastAsia="Calibri" w:cs="Calibri"/>
          <w:b w:val="1"/>
          <w:bCs w:val="1"/>
          <w:color w:val="000000" w:themeColor="text1" w:themeTint="FF" w:themeShade="FF"/>
          <w:sz w:val="24"/>
          <w:szCs w:val="24"/>
        </w:rPr>
        <w:t>References</w:t>
      </w:r>
    </w:p>
    <w:p w:rsidR="7CAD9620" w:rsidP="58CB052B" w:rsidRDefault="7CAD9620" w14:paraId="5038D3AD" w14:textId="32B05A82">
      <w:pPr>
        <w:pStyle w:val="ListParagraph"/>
        <w:numPr>
          <w:ilvl w:val="0"/>
          <w:numId w:val="8"/>
        </w:numPr>
        <w:spacing w:before="240" w:beforeAutospacing="off" w:after="240" w:afterAutospacing="off"/>
        <w:rPr>
          <w:rFonts w:ascii="Century Gothic" w:hAnsi="Century Gothic" w:eastAsia="Century Gothic" w:cs="Century Gothic"/>
          <w:noProof w:val="0"/>
          <w:sz w:val="22"/>
          <w:szCs w:val="22"/>
          <w:lang w:val="en-US"/>
        </w:rPr>
      </w:pPr>
      <w:r w:rsidRPr="58CB052B" w:rsidR="7CAD9620">
        <w:rPr>
          <w:rFonts w:ascii="Century Gothic" w:hAnsi="Century Gothic" w:eastAsia="Century Gothic" w:cs="Century Gothic"/>
          <w:noProof w:val="0"/>
          <w:sz w:val="22"/>
          <w:szCs w:val="22"/>
          <w:lang w:val="en-US"/>
        </w:rPr>
        <w:t xml:space="preserve">Brakeman, "A static analysis security vulnerability scanner for Ruby on Rails applications," GitHub repository, Accessed: Apr. 3, 2024. [Online]. Available: </w:t>
      </w:r>
      <w:hyperlink r:id="Ra3cc2391e98a443e">
        <w:r w:rsidRPr="58CB052B" w:rsidR="7CAD9620">
          <w:rPr>
            <w:rStyle w:val="Hyperlink"/>
            <w:noProof w:val="0"/>
            <w:sz w:val="20"/>
            <w:szCs w:val="20"/>
            <w:lang w:val="en-US"/>
          </w:rPr>
          <w:t>https://github.com/presidentbeef/brakeman</w:t>
        </w:r>
      </w:hyperlink>
    </w:p>
    <w:p w:rsidR="7CAD9620" w:rsidP="58CB052B" w:rsidRDefault="7CAD9620" w14:paraId="16DD7A4D" w14:textId="2CD1E861">
      <w:pPr>
        <w:pStyle w:val="ListParagraph"/>
        <w:numPr>
          <w:ilvl w:val="0"/>
          <w:numId w:val="8"/>
        </w:numPr>
        <w:spacing w:before="240" w:beforeAutospacing="off" w:after="240" w:afterAutospacing="off"/>
        <w:rPr>
          <w:rFonts w:ascii="Century Gothic" w:hAnsi="Century Gothic" w:eastAsia="Century Gothic" w:cs="Century Gothic"/>
          <w:noProof w:val="0"/>
          <w:sz w:val="22"/>
          <w:szCs w:val="22"/>
          <w:lang w:val="en-US"/>
        </w:rPr>
      </w:pPr>
      <w:r w:rsidRPr="18212E0A" w:rsidR="7CAD9620">
        <w:rPr>
          <w:rFonts w:ascii="Century Gothic" w:hAnsi="Century Gothic" w:eastAsia="Century Gothic" w:cs="Century Gothic"/>
          <w:noProof w:val="0"/>
          <w:sz w:val="22"/>
          <w:szCs w:val="22"/>
          <w:lang w:val="en-US"/>
        </w:rPr>
        <w:t xml:space="preserve">Brakeman, "Introduction to Brakeman," Brakeman Scanner, Accessed: Apr. 3, 2024. [Online]. Available: </w:t>
      </w:r>
      <w:hyperlink r:id="R6529e94da9f5413b">
        <w:r w:rsidRPr="18212E0A" w:rsidR="7CAD9620">
          <w:rPr>
            <w:rStyle w:val="Hyperlink"/>
            <w:noProof w:val="0"/>
            <w:sz w:val="20"/>
            <w:szCs w:val="20"/>
            <w:lang w:val="en-US"/>
          </w:rPr>
          <w:t>https://brakemanscanner.org/docs/introduction/</w:t>
        </w:r>
      </w:hyperlink>
    </w:p>
    <w:p w:rsidR="6C85BC1D" w:rsidP="18212E0A" w:rsidRDefault="6C85BC1D" w14:paraId="491BC09C" w14:textId="543F90F5">
      <w:pPr>
        <w:pStyle w:val="ListParagraph"/>
        <w:numPr>
          <w:ilvl w:val="0"/>
          <w:numId w:val="8"/>
        </w:numPr>
        <w:spacing w:before="240" w:beforeAutospacing="off" w:after="240" w:afterAutospacing="off"/>
        <w:rPr>
          <w:noProof w:val="0"/>
          <w:color w:val="auto"/>
          <w:sz w:val="22"/>
          <w:szCs w:val="22"/>
          <w:lang w:val="en-US"/>
        </w:rPr>
      </w:pPr>
      <w:r w:rsidRPr="18212E0A" w:rsidR="6C85BC1D">
        <w:rPr>
          <w:rFonts w:ascii="Century Gothic" w:hAnsi="Century Gothic" w:eastAsia="Century Gothic" w:cs="Century Gothic"/>
          <w:b w:val="0"/>
          <w:bCs w:val="0"/>
          <w:i w:val="0"/>
          <w:iCs w:val="0"/>
          <w:caps w:val="0"/>
          <w:smallCaps w:val="0"/>
          <w:noProof w:val="0"/>
          <w:color w:val="auto"/>
          <w:sz w:val="22"/>
          <w:szCs w:val="22"/>
          <w:lang w:val="en-US"/>
        </w:rPr>
        <w:t>ChatGPT, “ChatGPT</w:t>
      </w:r>
      <w:r w:rsidRPr="18212E0A" w:rsidR="6C85BC1D">
        <w:rPr>
          <w:rFonts w:ascii="Century Gothic" w:hAnsi="Century Gothic" w:eastAsia="Century Gothic" w:cs="Century Gothic"/>
          <w:b w:val="0"/>
          <w:bCs w:val="0"/>
          <w:i w:val="0"/>
          <w:iCs w:val="0"/>
          <w:caps w:val="0"/>
          <w:smallCaps w:val="0"/>
          <w:noProof w:val="0"/>
          <w:color w:val="auto"/>
          <w:sz w:val="22"/>
          <w:szCs w:val="22"/>
          <w:lang w:val="en-US"/>
        </w:rPr>
        <w:t>”,</w:t>
      </w:r>
      <w:r w:rsidRPr="18212E0A" w:rsidR="6C85BC1D">
        <w:rPr>
          <w:rFonts w:ascii="Century Gothic" w:hAnsi="Century Gothic" w:eastAsia="Century Gothic" w:cs="Century Gothic"/>
          <w:b w:val="0"/>
          <w:bCs w:val="0"/>
          <w:i w:val="0"/>
          <w:iCs w:val="0"/>
          <w:caps w:val="0"/>
          <w:smallCaps w:val="0"/>
          <w:noProof w:val="0"/>
          <w:color w:val="auto"/>
          <w:sz w:val="22"/>
          <w:szCs w:val="22"/>
          <w:lang w:val="en-US"/>
        </w:rPr>
        <w:t xml:space="preserve"> OpenAI [Large language model] Available: </w:t>
      </w:r>
      <w:hyperlink r:id="Rcc75fc16801e4db4">
        <w:r w:rsidRPr="18212E0A" w:rsidR="6C85BC1D">
          <w:rPr>
            <w:rStyle w:val="Hyperlink"/>
            <w:b w:val="0"/>
            <w:bCs w:val="0"/>
            <w:i w:val="0"/>
            <w:iCs w:val="0"/>
            <w:caps w:val="0"/>
            <w:smallCaps w:val="0"/>
            <w:strike w:val="0"/>
            <w:dstrike w:val="0"/>
            <w:noProof w:val="0"/>
            <w:color w:val="0070C0"/>
            <w:sz w:val="22"/>
            <w:szCs w:val="22"/>
            <w:lang w:val="en-US"/>
          </w:rPr>
          <w:t>https://chat.openai.com</w:t>
        </w:r>
      </w:hyperlink>
      <w:r w:rsidRPr="18212E0A" w:rsidR="6C85BC1D">
        <w:rPr>
          <w:rFonts w:ascii="Century Gothic" w:hAnsi="Century Gothic" w:eastAsia="Century Gothic" w:cs="Century Gothic"/>
          <w:b w:val="0"/>
          <w:bCs w:val="0"/>
          <w:i w:val="0"/>
          <w:iCs w:val="0"/>
          <w:caps w:val="0"/>
          <w:smallCaps w:val="0"/>
          <w:noProof w:val="0"/>
          <w:color w:val="auto"/>
          <w:sz w:val="22"/>
          <w:szCs w:val="22"/>
          <w:lang w:val="en-US"/>
        </w:rPr>
        <w:t xml:space="preserve"> [Accessed: 2/4/2024].</w:t>
      </w:r>
    </w:p>
    <w:p w:rsidR="15591512" w:rsidP="6009D5C6" w:rsidRDefault="15591512" w14:paraId="623F4A6E" w14:textId="4AD71AFB">
      <w:pPr>
        <w:rPr>
          <w:rFonts w:ascii="Century Gothic" w:hAnsi="Century Gothic" w:eastAsia="Calibri" w:cs="Calibri"/>
          <w:b/>
          <w:bCs/>
          <w:color w:val="000000" w:themeColor="text1"/>
          <w:sz w:val="24"/>
          <w:szCs w:val="24"/>
        </w:rPr>
      </w:pPr>
      <w:r w:rsidRPr="58CB052B" w:rsidR="15591512">
        <w:rPr>
          <w:rFonts w:ascii="Century Gothic" w:hAnsi="Century Gothic" w:eastAsia="Calibri" w:cs="Calibri"/>
          <w:b w:val="1"/>
          <w:bCs w:val="1"/>
          <w:color w:val="000000" w:themeColor="text1" w:themeTint="FF" w:themeShade="FF"/>
          <w:sz w:val="24"/>
          <w:szCs w:val="24"/>
        </w:rPr>
        <w:t>Contact Details</w:t>
      </w:r>
    </w:p>
    <w:p w:rsidRPr="00BE3237" w:rsidR="6009D5C6" w:rsidP="58CB052B" w:rsidRDefault="6009D5C6" w14:paraId="742F83DD" w14:textId="0867B25F">
      <w:pPr>
        <w:pStyle w:val="ListParagraph"/>
        <w:numPr>
          <w:ilvl w:val="0"/>
          <w:numId w:val="9"/>
        </w:numPr>
        <w:suppressLineNumbers w:val="0"/>
        <w:bidi w:val="0"/>
        <w:spacing w:before="0" w:beforeAutospacing="off" w:after="160" w:afterAutospacing="off" w:line="259" w:lineRule="auto"/>
        <w:ind w:right="0"/>
        <w:jc w:val="left"/>
        <w:rPr>
          <w:rFonts w:ascii="Century Gothic" w:hAnsi="Century Gothic" w:eastAsia="Calibri" w:cs="Calibri"/>
          <w:color w:val="auto"/>
          <w:sz w:val="20"/>
          <w:szCs w:val="20"/>
        </w:rPr>
      </w:pPr>
      <w:r w:rsidRPr="58CB052B" w:rsidR="1DCFC7AF">
        <w:rPr>
          <w:rFonts w:ascii="Century Gothic" w:hAnsi="Century Gothic" w:eastAsia="Calibri" w:cs="Calibri"/>
          <w:color w:val="auto"/>
          <w:sz w:val="22"/>
          <w:szCs w:val="22"/>
        </w:rPr>
        <w:t>Deakin Carr</w:t>
      </w:r>
    </w:p>
    <w:p w:rsidRPr="00BE3237" w:rsidR="6009D5C6" w:rsidP="58CB052B" w:rsidRDefault="6009D5C6" w14:paraId="20BCDEBA" w14:textId="527C8C6B">
      <w:pPr>
        <w:pStyle w:val="ListParagraph"/>
        <w:numPr>
          <w:ilvl w:val="0"/>
          <w:numId w:val="9"/>
        </w:numPr>
        <w:suppressLineNumbers w:val="0"/>
        <w:bidi w:val="0"/>
        <w:spacing w:before="0" w:beforeAutospacing="off" w:after="160" w:afterAutospacing="off" w:line="259" w:lineRule="auto"/>
        <w:ind w:right="0"/>
        <w:jc w:val="left"/>
        <w:rPr>
          <w:rFonts w:ascii="Century Gothic" w:hAnsi="Century Gothic" w:eastAsia="Calibri" w:cs="Calibri"/>
          <w:color w:val="auto"/>
          <w:sz w:val="20"/>
          <w:szCs w:val="20"/>
        </w:rPr>
      </w:pPr>
      <w:r w:rsidRPr="58CB052B" w:rsidR="1DCFC7AF">
        <w:rPr>
          <w:rFonts w:ascii="Century Gothic" w:hAnsi="Century Gothic" w:eastAsia="Calibri" w:cs="Calibri"/>
          <w:color w:val="auto"/>
          <w:sz w:val="22"/>
          <w:szCs w:val="22"/>
        </w:rPr>
        <w:t>Carrde@deakin.edu.au</w:t>
      </w:r>
    </w:p>
    <w:p w:rsidR="6009D5C6" w:rsidP="72389DA4" w:rsidRDefault="2EB418EB" w14:paraId="3B8E6FBF" w14:textId="3567A5C4">
      <w:pPr>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Pentest Leader Feedback.</w:t>
      </w:r>
    </w:p>
    <w:p w:rsidRPr="00BE3237" w:rsidR="6009D5C6" w:rsidP="6FA0C22C" w:rsidRDefault="6009D5C6" w14:paraId="399CA9A2" w14:textId="72474764">
      <w:pPr>
        <w:rPr>
          <w:rFonts w:ascii="Century Gothic" w:hAnsi="Century Gothic" w:eastAsia="Calibri" w:cs="Calibri"/>
          <w:color w:val="7030A0"/>
          <w:sz w:val="24"/>
          <w:szCs w:val="24"/>
        </w:rPr>
      </w:pPr>
      <w:r w:rsidRPr="6FA0C22C" w:rsidR="00686EE4">
        <w:rPr>
          <w:rFonts w:ascii="Century Gothic" w:hAnsi="Century Gothic" w:eastAsia="Calibri" w:cs="Calibri"/>
          <w:color w:val="7030A0"/>
          <w:sz w:val="24"/>
          <w:szCs w:val="24"/>
        </w:rPr>
        <w:t>The lead will provide feedback to enact on</w:t>
      </w:r>
      <w:r w:rsidRPr="6FA0C22C" w:rsidR="00C2F475">
        <w:rPr>
          <w:rFonts w:ascii="Century Gothic" w:hAnsi="Century Gothic" w:eastAsia="Calibri" w:cs="Calibri"/>
          <w:color w:val="7030A0"/>
          <w:sz w:val="24"/>
          <w:szCs w:val="24"/>
        </w:rPr>
        <w:t>.</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543F" w:rsidP="00CA27D7" w:rsidRDefault="00AD543F" w14:paraId="5E9F3253" w14:textId="77777777">
      <w:pPr>
        <w:spacing w:after="0" w:line="240" w:lineRule="auto"/>
      </w:pPr>
      <w:r>
        <w:separator/>
      </w:r>
    </w:p>
  </w:endnote>
  <w:endnote w:type="continuationSeparator" w:id="0">
    <w:p w:rsidR="00AD543F" w:rsidP="00CA27D7" w:rsidRDefault="00AD543F" w14:paraId="55F55F60" w14:textId="77777777">
      <w:pPr>
        <w:spacing w:after="0" w:line="240" w:lineRule="auto"/>
      </w:pPr>
      <w:r>
        <w:continuationSeparator/>
      </w:r>
    </w:p>
  </w:endnote>
  <w:endnote w:type="continuationNotice" w:id="1">
    <w:p w:rsidR="00AD543F" w:rsidRDefault="00AD543F" w14:paraId="04F91E9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543F" w:rsidP="00CA27D7" w:rsidRDefault="00AD543F" w14:paraId="407DB2DB" w14:textId="77777777">
      <w:pPr>
        <w:spacing w:after="0" w:line="240" w:lineRule="auto"/>
      </w:pPr>
      <w:r>
        <w:separator/>
      </w:r>
    </w:p>
  </w:footnote>
  <w:footnote w:type="continuationSeparator" w:id="0">
    <w:p w:rsidR="00AD543F" w:rsidP="00CA27D7" w:rsidRDefault="00AD543F" w14:paraId="7C69FBAB" w14:textId="77777777">
      <w:pPr>
        <w:spacing w:after="0" w:line="240" w:lineRule="auto"/>
      </w:pPr>
      <w:r>
        <w:continuationSeparator/>
      </w:r>
    </w:p>
  </w:footnote>
  <w:footnote w:type="continuationNotice" w:id="1">
    <w:p w:rsidR="00AD543F" w:rsidRDefault="00AD543F" w14:paraId="63A634A8"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8">
    <w:nsid w:val="7a3eb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4942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9">
    <w:abstractNumId w:val="8"/>
  </w:num>
  <w:num w:numId="8">
    <w:abstractNumId w:val="7"/>
  </w: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618DE"/>
    <w:rsid w:val="003D5C2E"/>
    <w:rsid w:val="0044D314"/>
    <w:rsid w:val="00533EA6"/>
    <w:rsid w:val="00640B7F"/>
    <w:rsid w:val="00657296"/>
    <w:rsid w:val="00686EE4"/>
    <w:rsid w:val="00721338"/>
    <w:rsid w:val="00AD543F"/>
    <w:rsid w:val="00BE3237"/>
    <w:rsid w:val="00C2F475"/>
    <w:rsid w:val="00CA065C"/>
    <w:rsid w:val="00CA27D7"/>
    <w:rsid w:val="00CC4ECA"/>
    <w:rsid w:val="00EA5E6D"/>
    <w:rsid w:val="00F35EE7"/>
    <w:rsid w:val="03B5B737"/>
    <w:rsid w:val="04C764AE"/>
    <w:rsid w:val="04DC9B94"/>
    <w:rsid w:val="084383EB"/>
    <w:rsid w:val="09DF544C"/>
    <w:rsid w:val="0A44E58B"/>
    <w:rsid w:val="0A6955F7"/>
    <w:rsid w:val="0DA0F6B9"/>
    <w:rsid w:val="0E8AF78F"/>
    <w:rsid w:val="0E8B6B60"/>
    <w:rsid w:val="0FB600B7"/>
    <w:rsid w:val="14F60CF5"/>
    <w:rsid w:val="154112F7"/>
    <w:rsid w:val="15591512"/>
    <w:rsid w:val="15611D62"/>
    <w:rsid w:val="17AC4292"/>
    <w:rsid w:val="18212E0A"/>
    <w:rsid w:val="1AE93B09"/>
    <w:rsid w:val="1B59EEB3"/>
    <w:rsid w:val="1DCFC7AF"/>
    <w:rsid w:val="1E172337"/>
    <w:rsid w:val="1F3CAA3E"/>
    <w:rsid w:val="1FA383CF"/>
    <w:rsid w:val="21C955DB"/>
    <w:rsid w:val="238B1F85"/>
    <w:rsid w:val="25265F02"/>
    <w:rsid w:val="25422E65"/>
    <w:rsid w:val="256D1654"/>
    <w:rsid w:val="25C0DC2A"/>
    <w:rsid w:val="28AB7EA3"/>
    <w:rsid w:val="28FAA9DB"/>
    <w:rsid w:val="2953A169"/>
    <w:rsid w:val="2993DCAB"/>
    <w:rsid w:val="2A5BD39C"/>
    <w:rsid w:val="2C09D706"/>
    <w:rsid w:val="2E8E0530"/>
    <w:rsid w:val="2EB418EB"/>
    <w:rsid w:val="32F935E1"/>
    <w:rsid w:val="33AA5DC2"/>
    <w:rsid w:val="33B591E3"/>
    <w:rsid w:val="35E866B1"/>
    <w:rsid w:val="383A444B"/>
    <w:rsid w:val="39687765"/>
    <w:rsid w:val="3C57A835"/>
    <w:rsid w:val="3E4FBDAD"/>
    <w:rsid w:val="40E462CF"/>
    <w:rsid w:val="40E6B9E1"/>
    <w:rsid w:val="40E97C68"/>
    <w:rsid w:val="41616493"/>
    <w:rsid w:val="433401D2"/>
    <w:rsid w:val="443C4007"/>
    <w:rsid w:val="45D8E078"/>
    <w:rsid w:val="46A9ED73"/>
    <w:rsid w:val="479D6306"/>
    <w:rsid w:val="47A85AA7"/>
    <w:rsid w:val="48B6BD98"/>
    <w:rsid w:val="48BD0A10"/>
    <w:rsid w:val="4925A5D6"/>
    <w:rsid w:val="493E18C3"/>
    <w:rsid w:val="4AF31C8B"/>
    <w:rsid w:val="4BD8442E"/>
    <w:rsid w:val="4EFA2131"/>
    <w:rsid w:val="56F00AE7"/>
    <w:rsid w:val="57B9069D"/>
    <w:rsid w:val="58312153"/>
    <w:rsid w:val="589BB971"/>
    <w:rsid w:val="58CB052B"/>
    <w:rsid w:val="59129F9D"/>
    <w:rsid w:val="5994D52E"/>
    <w:rsid w:val="5CB7BE27"/>
    <w:rsid w:val="5FEE1DB3"/>
    <w:rsid w:val="5FF76BFF"/>
    <w:rsid w:val="6009D5C6"/>
    <w:rsid w:val="607DC4D0"/>
    <w:rsid w:val="615A4585"/>
    <w:rsid w:val="6494AD44"/>
    <w:rsid w:val="657189CA"/>
    <w:rsid w:val="65C6510E"/>
    <w:rsid w:val="661BC247"/>
    <w:rsid w:val="66A530AD"/>
    <w:rsid w:val="677873BC"/>
    <w:rsid w:val="684744FF"/>
    <w:rsid w:val="68A92A8C"/>
    <w:rsid w:val="6C28004D"/>
    <w:rsid w:val="6C85BC1D"/>
    <w:rsid w:val="6D7C9BAF"/>
    <w:rsid w:val="6DF02243"/>
    <w:rsid w:val="6F186C10"/>
    <w:rsid w:val="6FA0C22C"/>
    <w:rsid w:val="70392E87"/>
    <w:rsid w:val="71D4FEE8"/>
    <w:rsid w:val="72389DA4"/>
    <w:rsid w:val="7470AEC9"/>
    <w:rsid w:val="74751EF2"/>
    <w:rsid w:val="76C8B8A8"/>
    <w:rsid w:val="7713A3E4"/>
    <w:rsid w:val="7B4BA388"/>
    <w:rsid w:val="7B9C29CB"/>
    <w:rsid w:val="7CAD9620"/>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microsoft.com/office/2020/10/relationships/intelligence" Target="intelligence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4b0a1830d5934e37" /><Relationship Type="http://schemas.openxmlformats.org/officeDocument/2006/relationships/hyperlink" Target="https://github.com/presidentbeef/brakeman" TargetMode="External" Id="Ra3cc2391e98a443e" /><Relationship Type="http://schemas.openxmlformats.org/officeDocument/2006/relationships/hyperlink" Target="https://brakemanscanner.org/docs/introduction/" TargetMode="External" Id="R6529e94da9f5413b" /><Relationship Type="http://schemas.openxmlformats.org/officeDocument/2006/relationships/hyperlink" Target="https://chat.openai.com/" TargetMode="External" Id="Rcc75fc16801e4d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5AA3F-D2AA-4AC8-B28F-E6B79478BA8D}"/>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JARROD WIGG</dc:creator>
  <keywords/>
  <dc:description/>
  <lastModifiedBy>DEAKIN CARR</lastModifiedBy>
  <revision>18</revision>
  <dcterms:created xsi:type="dcterms:W3CDTF">2023-07-10T16:35:00.0000000Z</dcterms:created>
  <dcterms:modified xsi:type="dcterms:W3CDTF">2024-04-08T01:02:50.4527769Z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